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1C" w:rsidRPr="00E309A1" w:rsidRDefault="0000061C" w:rsidP="00D7112E">
      <w:pPr>
        <w:spacing w:before="24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8861ED" w:rsidRPr="00E309A1" w:rsidRDefault="00AC3DF7" w:rsidP="00D7112E">
      <w:pPr>
        <w:spacing w:before="24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PROJETO DE </w:t>
      </w:r>
      <w:r w:rsidR="00D7112E" w:rsidRPr="00E309A1">
        <w:rPr>
          <w:rFonts w:ascii="Arial Narrow" w:hAnsi="Arial Narrow" w:cs="Arial"/>
          <w:b/>
          <w:sz w:val="24"/>
          <w:szCs w:val="24"/>
          <w:u w:val="single"/>
        </w:rPr>
        <w:t>LEI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COMPLEMENTAR</w:t>
      </w:r>
    </w:p>
    <w:p w:rsidR="008861ED" w:rsidRPr="00E309A1" w:rsidRDefault="008861ED" w:rsidP="00764413">
      <w:pPr>
        <w:spacing w:before="120"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09A1">
        <w:rPr>
          <w:rFonts w:ascii="Arial Narrow" w:hAnsi="Arial Narrow" w:cs="Arial"/>
          <w:b/>
          <w:sz w:val="24"/>
          <w:szCs w:val="24"/>
        </w:rPr>
        <w:t>Nº</w:t>
      </w:r>
      <w:r w:rsidR="009735AD">
        <w:rPr>
          <w:rFonts w:ascii="Arial Narrow" w:hAnsi="Arial Narrow" w:cs="Arial"/>
          <w:b/>
          <w:sz w:val="24"/>
          <w:szCs w:val="24"/>
        </w:rPr>
        <w:t>. 10</w:t>
      </w:r>
      <w:r w:rsidR="00D7112E" w:rsidRPr="00E309A1">
        <w:rPr>
          <w:rFonts w:ascii="Arial Narrow" w:hAnsi="Arial Narrow" w:cs="Arial"/>
          <w:b/>
          <w:sz w:val="24"/>
          <w:szCs w:val="24"/>
        </w:rPr>
        <w:t>/2018</w:t>
      </w:r>
    </w:p>
    <w:p w:rsidR="007430A0" w:rsidRPr="003D12C1" w:rsidRDefault="007430A0" w:rsidP="007430A0">
      <w:pPr>
        <w:spacing w:after="0"/>
        <w:ind w:left="2835" w:right="-1"/>
        <w:jc w:val="both"/>
        <w:rPr>
          <w:rFonts w:ascii="Arial Narrow" w:hAnsi="Arial Narrow"/>
          <w:b/>
          <w:i/>
          <w:sz w:val="24"/>
          <w:szCs w:val="24"/>
        </w:rPr>
      </w:pPr>
    </w:p>
    <w:p w:rsidR="00447466" w:rsidRPr="008F3135" w:rsidRDefault="00447466" w:rsidP="008F3135">
      <w:pPr>
        <w:tabs>
          <w:tab w:val="left" w:pos="0"/>
        </w:tabs>
        <w:spacing w:after="0" w:line="240" w:lineRule="auto"/>
        <w:ind w:left="3540"/>
        <w:jc w:val="both"/>
        <w:rPr>
          <w:rFonts w:ascii="Arial Narrow" w:hAnsi="Arial Narrow" w:cs="Arial"/>
          <w:b/>
          <w:sz w:val="24"/>
          <w:szCs w:val="24"/>
        </w:rPr>
      </w:pPr>
      <w:r w:rsidRPr="008F3135">
        <w:rPr>
          <w:rFonts w:ascii="Arial Narrow" w:hAnsi="Arial Narrow" w:cs="Arial"/>
          <w:b/>
          <w:sz w:val="24"/>
          <w:szCs w:val="24"/>
        </w:rPr>
        <w:t>"</w:t>
      </w:r>
      <w:r w:rsidR="008F3135" w:rsidRPr="008F3135">
        <w:rPr>
          <w:rFonts w:ascii="Arial Narrow" w:hAnsi="Arial Narrow" w:cs="Arial"/>
          <w:b/>
          <w:sz w:val="24"/>
          <w:szCs w:val="24"/>
        </w:rPr>
        <w:t>Dispõe sobre a criação de cargos de assistente jurídico na estrutura administrativa da Secretaria de Assuntos Jurídicos do Município de São Sebastião, e dá outras providências</w:t>
      </w:r>
      <w:r w:rsidRPr="008F3135">
        <w:rPr>
          <w:rFonts w:ascii="Arial Narrow" w:hAnsi="Arial Narrow" w:cs="Arial"/>
          <w:b/>
          <w:sz w:val="24"/>
          <w:szCs w:val="24"/>
        </w:rPr>
        <w:t>”</w:t>
      </w:r>
    </w:p>
    <w:p w:rsidR="007430A0" w:rsidRPr="008F3135" w:rsidRDefault="007430A0" w:rsidP="007430A0">
      <w:pPr>
        <w:spacing w:after="0"/>
        <w:ind w:left="4536" w:right="-1"/>
        <w:jc w:val="both"/>
        <w:rPr>
          <w:rFonts w:ascii="Arial Narrow" w:hAnsi="Arial Narrow"/>
          <w:b/>
          <w:sz w:val="24"/>
          <w:szCs w:val="24"/>
        </w:rPr>
      </w:pPr>
    </w:p>
    <w:p w:rsidR="008861ED" w:rsidRPr="008F3135" w:rsidRDefault="008861ED" w:rsidP="008861ED">
      <w:pPr>
        <w:spacing w:before="240" w:after="0" w:line="240" w:lineRule="auto"/>
        <w:ind w:left="4248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C3DF7" w:rsidRPr="00AC3DF7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b/>
          <w:sz w:val="24"/>
          <w:szCs w:val="24"/>
        </w:rPr>
        <w:t>FELIPE AUGUSTO</w:t>
      </w:r>
      <w:r w:rsidRPr="00AC3DF7">
        <w:rPr>
          <w:rFonts w:ascii="Arial Narrow" w:hAnsi="Arial Narrow"/>
          <w:sz w:val="24"/>
          <w:szCs w:val="24"/>
        </w:rPr>
        <w:t xml:space="preserve">, Prefeito de São Sebastião, no exercício de suas atribuições legais, faz </w:t>
      </w:r>
      <w:r w:rsidR="008F3135">
        <w:rPr>
          <w:rFonts w:ascii="Arial Narrow" w:hAnsi="Arial Narrow"/>
          <w:sz w:val="24"/>
          <w:szCs w:val="24"/>
        </w:rPr>
        <w:t>saber que a Câmara</w:t>
      </w:r>
      <w:r>
        <w:rPr>
          <w:rFonts w:ascii="Arial Narrow" w:hAnsi="Arial Narrow"/>
          <w:sz w:val="24"/>
          <w:szCs w:val="24"/>
        </w:rPr>
        <w:t xml:space="preserve"> Municipal</w:t>
      </w:r>
      <w:r w:rsidRPr="00AC3DF7">
        <w:rPr>
          <w:rFonts w:ascii="Arial Narrow" w:hAnsi="Arial Narrow"/>
          <w:sz w:val="24"/>
          <w:szCs w:val="24"/>
        </w:rPr>
        <w:t xml:space="preserve"> aprovou, e ele sancion</w:t>
      </w:r>
      <w:r>
        <w:rPr>
          <w:rFonts w:ascii="Arial Narrow" w:hAnsi="Arial Narrow"/>
          <w:sz w:val="24"/>
          <w:szCs w:val="24"/>
        </w:rPr>
        <w:t>a e promulga a seguinte Lei Complementar:</w:t>
      </w:r>
    </w:p>
    <w:p w:rsidR="008F3135" w:rsidRDefault="008F3135" w:rsidP="008F3135">
      <w:pPr>
        <w:spacing w:after="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AC3DF7" w:rsidRPr="00AC3DF7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b/>
          <w:sz w:val="24"/>
          <w:szCs w:val="24"/>
        </w:rPr>
        <w:t>Art. 1º</w:t>
      </w:r>
      <w:r>
        <w:rPr>
          <w:rFonts w:ascii="Arial Narrow" w:hAnsi="Arial Narrow"/>
          <w:b/>
          <w:sz w:val="24"/>
          <w:szCs w:val="24"/>
        </w:rPr>
        <w:t>-</w:t>
      </w:r>
      <w:r w:rsidRPr="00AC3DF7">
        <w:rPr>
          <w:rFonts w:ascii="Arial Narrow" w:hAnsi="Arial Narrow"/>
          <w:sz w:val="24"/>
          <w:szCs w:val="24"/>
        </w:rPr>
        <w:t xml:space="preserve"> fica</w:t>
      </w:r>
      <w:r w:rsidR="00C0131A">
        <w:rPr>
          <w:rFonts w:ascii="Arial Narrow" w:hAnsi="Arial Narrow"/>
          <w:sz w:val="24"/>
          <w:szCs w:val="24"/>
        </w:rPr>
        <w:t>m criados 20 (vinte) cargos de Assistente J</w:t>
      </w:r>
      <w:r w:rsidRPr="00AC3DF7">
        <w:rPr>
          <w:rFonts w:ascii="Arial Narrow" w:hAnsi="Arial Narrow"/>
          <w:sz w:val="24"/>
          <w:szCs w:val="24"/>
        </w:rPr>
        <w:t>urídico no quadro de pessoal permanente, lotados na Secretaria de Assuntos Jurídicos com referência XII (doze), jornada de 40 horas semanais, formação em direito e com atribuições específicas.</w:t>
      </w:r>
    </w:p>
    <w:tbl>
      <w:tblPr>
        <w:tblpPr w:leftFromText="141" w:rightFromText="141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1168"/>
        <w:gridCol w:w="1387"/>
        <w:gridCol w:w="1260"/>
        <w:gridCol w:w="1519"/>
      </w:tblGrid>
      <w:tr w:rsidR="008F3135" w:rsidRPr="00AC3DF7" w:rsidTr="008F3135">
        <w:tc>
          <w:tcPr>
            <w:tcW w:w="1234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Cargo</w:t>
            </w:r>
          </w:p>
        </w:tc>
        <w:tc>
          <w:tcPr>
            <w:tcW w:w="1168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Referência</w:t>
            </w:r>
          </w:p>
        </w:tc>
        <w:tc>
          <w:tcPr>
            <w:tcW w:w="1387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Carga Horária Semanal</w:t>
            </w:r>
          </w:p>
        </w:tc>
        <w:tc>
          <w:tcPr>
            <w:tcW w:w="1260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Cargos Totais</w:t>
            </w:r>
          </w:p>
        </w:tc>
        <w:tc>
          <w:tcPr>
            <w:tcW w:w="1519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Qualificação</w:t>
            </w:r>
          </w:p>
        </w:tc>
      </w:tr>
      <w:tr w:rsidR="008F3135" w:rsidRPr="00AC3DF7" w:rsidTr="008F3135">
        <w:tc>
          <w:tcPr>
            <w:tcW w:w="1234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Assistente</w:t>
            </w:r>
          </w:p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Jurídico</w:t>
            </w:r>
          </w:p>
        </w:tc>
        <w:tc>
          <w:tcPr>
            <w:tcW w:w="1168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XII</w:t>
            </w:r>
          </w:p>
        </w:tc>
        <w:tc>
          <w:tcPr>
            <w:tcW w:w="1387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519" w:type="dxa"/>
            <w:shd w:val="clear" w:color="auto" w:fill="auto"/>
          </w:tcPr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Formação em Direito.</w:t>
            </w:r>
          </w:p>
          <w:p w:rsidR="008F3135" w:rsidRPr="00AC3DF7" w:rsidRDefault="008F3135" w:rsidP="008F3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C3DF7">
              <w:rPr>
                <w:rFonts w:ascii="Arial Narrow" w:hAnsi="Arial Narrow"/>
                <w:sz w:val="24"/>
                <w:szCs w:val="24"/>
              </w:rPr>
              <w:t>Bacharelado</w:t>
            </w:r>
          </w:p>
        </w:tc>
      </w:tr>
    </w:tbl>
    <w:p w:rsidR="00AC3DF7" w:rsidRPr="00AC3DF7" w:rsidRDefault="00AC3DF7" w:rsidP="008F3135">
      <w:pPr>
        <w:jc w:val="both"/>
        <w:rPr>
          <w:rFonts w:ascii="Arial Narrow" w:hAnsi="Arial Narrow"/>
          <w:sz w:val="24"/>
          <w:szCs w:val="24"/>
        </w:rPr>
      </w:pPr>
    </w:p>
    <w:p w:rsidR="00AC3DF7" w:rsidRPr="00AC3DF7" w:rsidRDefault="00AC3DF7" w:rsidP="00AC3DF7">
      <w:pPr>
        <w:ind w:firstLine="1701"/>
        <w:jc w:val="both"/>
        <w:rPr>
          <w:rFonts w:ascii="Arial Narrow" w:hAnsi="Arial Narrow"/>
          <w:sz w:val="24"/>
          <w:szCs w:val="24"/>
        </w:rPr>
      </w:pPr>
    </w:p>
    <w:p w:rsidR="008F3135" w:rsidRDefault="008F3135" w:rsidP="008F3135">
      <w:pPr>
        <w:spacing w:after="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8F3135" w:rsidRDefault="008F3135" w:rsidP="008F3135">
      <w:pPr>
        <w:spacing w:after="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8F3135" w:rsidRDefault="008F3135" w:rsidP="008F3135">
      <w:pPr>
        <w:spacing w:after="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8F3135" w:rsidRDefault="008F3135" w:rsidP="008F3135">
      <w:pPr>
        <w:spacing w:after="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8F3135" w:rsidRDefault="008F3135" w:rsidP="008F313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F3135" w:rsidRDefault="008F3135" w:rsidP="008F313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F3135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b/>
          <w:sz w:val="24"/>
          <w:szCs w:val="24"/>
        </w:rPr>
        <w:t>Art. 2º</w:t>
      </w:r>
      <w:r>
        <w:rPr>
          <w:rFonts w:ascii="Arial Narrow" w:hAnsi="Arial Narrow"/>
          <w:b/>
          <w:sz w:val="24"/>
          <w:szCs w:val="24"/>
        </w:rPr>
        <w:t>-</w:t>
      </w:r>
      <w:r w:rsidRPr="00AC3DF7">
        <w:rPr>
          <w:rFonts w:ascii="Arial Narrow" w:hAnsi="Arial Narrow"/>
          <w:sz w:val="24"/>
          <w:szCs w:val="24"/>
        </w:rPr>
        <w:t xml:space="preserve"> São atribuições dos assistentes jurídicos, além de outras atividades afins:</w:t>
      </w:r>
    </w:p>
    <w:p w:rsidR="00AC3DF7" w:rsidRPr="00AC3DF7" w:rsidRDefault="00AC3DF7" w:rsidP="008F3135">
      <w:p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sz w:val="24"/>
          <w:szCs w:val="24"/>
        </w:rPr>
        <w:t>I – Minutar pareceres, requerimentos, ofícios, memorandos e petições judiciais em geral com a supervisão dos procuradores;</w:t>
      </w:r>
    </w:p>
    <w:p w:rsidR="00AC3DF7" w:rsidRPr="00AC3DF7" w:rsidRDefault="00AC3DF7" w:rsidP="008F3135">
      <w:p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sz w:val="24"/>
          <w:szCs w:val="24"/>
        </w:rPr>
        <w:t>II – Participar de reuniões e debates que envolvam questões jurídicas de interesse do Município;</w:t>
      </w:r>
    </w:p>
    <w:p w:rsidR="00AC3DF7" w:rsidRPr="00AC3DF7" w:rsidRDefault="00AC3DF7" w:rsidP="008F3135">
      <w:p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sz w:val="24"/>
          <w:szCs w:val="24"/>
        </w:rPr>
        <w:t xml:space="preserve"> III. Minutar pareceres em processos administrativos e expedientes que envolvam questões jurídicas sob a supervisão do procurador; </w:t>
      </w:r>
    </w:p>
    <w:p w:rsidR="00AC3DF7" w:rsidRPr="00AC3DF7" w:rsidRDefault="00AC3DF7" w:rsidP="008F3135">
      <w:p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sz w:val="24"/>
          <w:szCs w:val="24"/>
        </w:rPr>
        <w:t>IV. Auxiliar os procuradores, e sob a supervisão destes, na elaboração de minutas para a defesa judicial do Município;</w:t>
      </w:r>
    </w:p>
    <w:p w:rsidR="00AC3DF7" w:rsidRPr="00AC3DF7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sz w:val="24"/>
          <w:szCs w:val="24"/>
        </w:rPr>
        <w:t>V – Realizar pesquisas jurídicas sobre a jurisprudência dos tribunais.</w:t>
      </w:r>
    </w:p>
    <w:p w:rsidR="008F3135" w:rsidRDefault="008F3135" w:rsidP="008F313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C3DF7" w:rsidRPr="00AC3DF7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b/>
          <w:sz w:val="24"/>
          <w:szCs w:val="24"/>
        </w:rPr>
        <w:t xml:space="preserve">Parágrafo único - </w:t>
      </w:r>
      <w:r w:rsidRPr="00AC3DF7">
        <w:rPr>
          <w:rFonts w:ascii="Arial Narrow" w:hAnsi="Arial Narrow"/>
          <w:sz w:val="24"/>
          <w:szCs w:val="24"/>
        </w:rPr>
        <w:t>As</w:t>
      </w:r>
      <w:r w:rsidR="00C0131A">
        <w:rPr>
          <w:rFonts w:ascii="Arial Narrow" w:hAnsi="Arial Narrow"/>
          <w:sz w:val="24"/>
          <w:szCs w:val="24"/>
        </w:rPr>
        <w:t xml:space="preserve"> atribuições descritas nesta Lei Complementar</w:t>
      </w:r>
      <w:r w:rsidRPr="00AC3DF7">
        <w:rPr>
          <w:rFonts w:ascii="Arial Narrow" w:hAnsi="Arial Narrow"/>
          <w:sz w:val="24"/>
          <w:szCs w:val="24"/>
        </w:rPr>
        <w:t xml:space="preserve"> são de caráter exemplificativas, podendo serem exigidas outras afetas às exigências do cargo e a formação técnica.</w:t>
      </w:r>
    </w:p>
    <w:p w:rsidR="00AC3DF7" w:rsidRPr="00AC3DF7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b/>
          <w:sz w:val="24"/>
          <w:szCs w:val="24"/>
        </w:rPr>
        <w:t>Art. 3º</w:t>
      </w:r>
      <w:r>
        <w:rPr>
          <w:rFonts w:ascii="Arial Narrow" w:hAnsi="Arial Narrow"/>
          <w:b/>
          <w:sz w:val="24"/>
          <w:szCs w:val="24"/>
        </w:rPr>
        <w:t>-</w:t>
      </w:r>
      <w:r w:rsidRPr="00AC3DF7">
        <w:rPr>
          <w:rFonts w:ascii="Arial Narrow" w:hAnsi="Arial Narrow"/>
          <w:sz w:val="24"/>
          <w:szCs w:val="24"/>
        </w:rPr>
        <w:t xml:space="preserve"> As despesas decorrentes da execução da presente Lei</w:t>
      </w:r>
      <w:r w:rsidR="00C0131A">
        <w:rPr>
          <w:rFonts w:ascii="Arial Narrow" w:hAnsi="Arial Narrow"/>
          <w:sz w:val="24"/>
          <w:szCs w:val="24"/>
        </w:rPr>
        <w:t xml:space="preserve"> Complementar</w:t>
      </w:r>
      <w:r w:rsidRPr="00AC3DF7">
        <w:rPr>
          <w:rFonts w:ascii="Arial Narrow" w:hAnsi="Arial Narrow"/>
          <w:sz w:val="24"/>
          <w:szCs w:val="24"/>
        </w:rPr>
        <w:t xml:space="preserve"> correrão por conta de d</w:t>
      </w:r>
      <w:r>
        <w:rPr>
          <w:rFonts w:ascii="Arial Narrow" w:hAnsi="Arial Narrow"/>
          <w:sz w:val="24"/>
          <w:szCs w:val="24"/>
        </w:rPr>
        <w:t>otações orçamentárias próprias.</w:t>
      </w:r>
    </w:p>
    <w:p w:rsidR="00AC3DF7" w:rsidRPr="00AC3DF7" w:rsidRDefault="00AC3DF7" w:rsidP="008F3135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AC3DF7">
        <w:rPr>
          <w:rFonts w:ascii="Arial Narrow" w:hAnsi="Arial Narrow"/>
          <w:b/>
          <w:sz w:val="24"/>
          <w:szCs w:val="24"/>
        </w:rPr>
        <w:t>Art. 4º</w:t>
      </w:r>
      <w:r>
        <w:rPr>
          <w:rFonts w:ascii="Arial Narrow" w:hAnsi="Arial Narrow"/>
          <w:b/>
          <w:sz w:val="24"/>
          <w:szCs w:val="24"/>
        </w:rPr>
        <w:t xml:space="preserve"> -</w:t>
      </w:r>
      <w:r w:rsidRPr="00AC3DF7">
        <w:rPr>
          <w:rFonts w:ascii="Arial Narrow" w:hAnsi="Arial Narrow"/>
          <w:sz w:val="24"/>
          <w:szCs w:val="24"/>
        </w:rPr>
        <w:t xml:space="preserve"> Esta Lei</w:t>
      </w:r>
      <w:r w:rsidR="00C0131A">
        <w:rPr>
          <w:rFonts w:ascii="Arial Narrow" w:hAnsi="Arial Narrow"/>
          <w:sz w:val="24"/>
          <w:szCs w:val="24"/>
        </w:rPr>
        <w:t xml:space="preserve"> Complementar entra </w:t>
      </w:r>
      <w:r w:rsidRPr="00AC3DF7">
        <w:rPr>
          <w:rFonts w:ascii="Arial Narrow" w:hAnsi="Arial Narrow"/>
          <w:sz w:val="24"/>
          <w:szCs w:val="24"/>
        </w:rPr>
        <w:t>em vigor na data de sua publicação, ficando revogadas as demais disposições em contrário.</w:t>
      </w:r>
    </w:p>
    <w:p w:rsidR="00AC3DF7" w:rsidRPr="00AC3DF7" w:rsidRDefault="00AC3DF7" w:rsidP="008F3135">
      <w:pPr>
        <w:spacing w:after="0" w:line="360" w:lineRule="auto"/>
        <w:ind w:firstLine="1701"/>
        <w:jc w:val="both"/>
        <w:rPr>
          <w:rFonts w:ascii="Arial Narrow" w:hAnsi="Arial Narrow"/>
          <w:sz w:val="24"/>
          <w:szCs w:val="24"/>
        </w:rPr>
      </w:pPr>
    </w:p>
    <w:p w:rsidR="008861ED" w:rsidRPr="00E309A1" w:rsidRDefault="00AC3DF7" w:rsidP="00AC3DF7">
      <w:pPr>
        <w:pStyle w:val="Corpodetexto"/>
        <w:spacing w:after="0" w:line="360" w:lineRule="auto"/>
        <w:ind w:right="119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São Sebastião,   </w:t>
      </w:r>
      <w:r w:rsidR="009735AD">
        <w:rPr>
          <w:rFonts w:ascii="Arial Narrow" w:hAnsi="Arial Narrow" w:cs="Arial"/>
          <w:sz w:val="24"/>
          <w:szCs w:val="24"/>
        </w:rPr>
        <w:t>11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621412">
        <w:rPr>
          <w:rFonts w:ascii="Arial Narrow" w:hAnsi="Arial Narrow" w:cs="Arial"/>
          <w:sz w:val="24"/>
          <w:szCs w:val="24"/>
        </w:rPr>
        <w:t xml:space="preserve"> de </w:t>
      </w:r>
      <w:r w:rsidR="009735AD">
        <w:rPr>
          <w:rFonts w:ascii="Arial Narrow" w:hAnsi="Arial Narrow" w:cs="Arial"/>
          <w:sz w:val="24"/>
          <w:szCs w:val="24"/>
        </w:rPr>
        <w:t>dez</w:t>
      </w:r>
      <w:r w:rsidR="00621412">
        <w:rPr>
          <w:rFonts w:ascii="Arial Narrow" w:hAnsi="Arial Narrow" w:cs="Arial"/>
          <w:sz w:val="24"/>
          <w:szCs w:val="24"/>
        </w:rPr>
        <w:t>embro</w:t>
      </w:r>
      <w:r w:rsidR="00D648B4" w:rsidRPr="00E309A1">
        <w:rPr>
          <w:rFonts w:ascii="Arial Narrow" w:hAnsi="Arial Narrow" w:cs="Arial"/>
          <w:sz w:val="24"/>
          <w:szCs w:val="24"/>
        </w:rPr>
        <w:t xml:space="preserve"> d</w:t>
      </w:r>
      <w:r w:rsidR="00D7112E" w:rsidRPr="00E309A1">
        <w:rPr>
          <w:rFonts w:ascii="Arial Narrow" w:hAnsi="Arial Narrow" w:cs="Arial"/>
          <w:sz w:val="24"/>
          <w:szCs w:val="24"/>
        </w:rPr>
        <w:t>e 2018</w:t>
      </w:r>
      <w:r w:rsidR="00764413" w:rsidRPr="00E309A1">
        <w:rPr>
          <w:rFonts w:ascii="Arial Narrow" w:hAnsi="Arial Narrow" w:cs="Arial"/>
          <w:sz w:val="24"/>
          <w:szCs w:val="24"/>
        </w:rPr>
        <w:t>.</w:t>
      </w:r>
    </w:p>
    <w:p w:rsidR="000E4994" w:rsidRDefault="000E4994" w:rsidP="00AC3DF7">
      <w:pPr>
        <w:jc w:val="both"/>
        <w:rPr>
          <w:rFonts w:ascii="Arial Narrow" w:hAnsi="Arial Narrow" w:cs="Arial"/>
          <w:sz w:val="24"/>
          <w:szCs w:val="24"/>
        </w:rPr>
      </w:pPr>
    </w:p>
    <w:p w:rsidR="007430A0" w:rsidRDefault="007430A0" w:rsidP="00AC3DF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64413" w:rsidRPr="00E309A1" w:rsidRDefault="00764413" w:rsidP="00AC3DF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861ED" w:rsidRPr="00E309A1" w:rsidRDefault="00764413" w:rsidP="00AC3DF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09A1">
        <w:rPr>
          <w:rFonts w:ascii="Arial Narrow" w:hAnsi="Arial Narrow" w:cs="Arial"/>
          <w:b/>
          <w:sz w:val="24"/>
          <w:szCs w:val="24"/>
        </w:rPr>
        <w:t>FELIPE AUGUSTO</w:t>
      </w:r>
    </w:p>
    <w:p w:rsidR="008861ED" w:rsidRPr="00E309A1" w:rsidRDefault="008861ED" w:rsidP="00AC3DF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09A1">
        <w:rPr>
          <w:rFonts w:ascii="Arial Narrow" w:hAnsi="Arial Narrow" w:cs="Arial"/>
          <w:b/>
          <w:sz w:val="24"/>
          <w:szCs w:val="24"/>
        </w:rPr>
        <w:t>Prefeito</w:t>
      </w:r>
    </w:p>
    <w:p w:rsidR="00CA6C46" w:rsidRPr="00E309A1" w:rsidRDefault="00CA6C46" w:rsidP="00AC3DF7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C3DF7" w:rsidRPr="00E309A1" w:rsidRDefault="00AC3DF7" w:rsidP="00AC3DF7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sectPr w:rsidR="00AC3DF7" w:rsidRPr="00E309A1" w:rsidSect="00A905BF">
      <w:headerReference w:type="default" r:id="rId8"/>
      <w:footerReference w:type="default" r:id="rId9"/>
      <w:pgSz w:w="11906" w:h="16838" w:code="9"/>
      <w:pgMar w:top="1701" w:right="1134" w:bottom="720" w:left="1701" w:header="127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34" w:rsidRDefault="00E22434" w:rsidP="00D724C5">
      <w:pPr>
        <w:spacing w:after="0" w:line="240" w:lineRule="auto"/>
      </w:pPr>
      <w:r>
        <w:separator/>
      </w:r>
    </w:p>
  </w:endnote>
  <w:endnote w:type="continuationSeparator" w:id="1">
    <w:p w:rsidR="00E22434" w:rsidRDefault="00E22434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A6" w:rsidRPr="005F38A6" w:rsidRDefault="005F38A6" w:rsidP="00052FAD">
    <w:pPr>
      <w:spacing w:after="0" w:line="240" w:lineRule="auto"/>
      <w:jc w:val="center"/>
      <w:rPr>
        <w:rFonts w:ascii="Arial Narrow" w:hAnsi="Arial Narrow" w:cs="Arial"/>
        <w:iCs/>
        <w:sz w:val="16"/>
        <w:szCs w:val="16"/>
      </w:rPr>
    </w:pPr>
  </w:p>
  <w:p w:rsidR="0000061C" w:rsidRPr="005F38A6" w:rsidRDefault="00AC3DF7" w:rsidP="00052FAD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5F38A6">
      <w:rPr>
        <w:rFonts w:ascii="Arial Narrow" w:hAnsi="Arial Narrow" w:cs="Arial"/>
        <w:iCs/>
        <w:sz w:val="16"/>
        <w:szCs w:val="16"/>
      </w:rPr>
      <w:t xml:space="preserve"> </w:t>
    </w:r>
    <w:r w:rsidR="0000061C" w:rsidRPr="005F38A6">
      <w:rPr>
        <w:rFonts w:ascii="Arial Narrow" w:hAnsi="Arial Narrow" w:cs="Arial"/>
        <w:iCs/>
        <w:sz w:val="16"/>
        <w:szCs w:val="16"/>
      </w:rPr>
      <w:t>“Fiscalize o seu município” – www.portaldocidadao.tce.sp.gov.br</w:t>
    </w:r>
  </w:p>
  <w:p w:rsidR="0000061C" w:rsidRDefault="0000061C">
    <w:pPr>
      <w:pStyle w:val="Rodap"/>
      <w:jc w:val="right"/>
    </w:pPr>
    <w:fldSimple w:instr="PAGE   \* MERGEFORMAT">
      <w:r w:rsidR="009735AD">
        <w:rPr>
          <w:noProof/>
        </w:rPr>
        <w:t>1</w:t>
      </w:r>
    </w:fldSimple>
  </w:p>
  <w:p w:rsidR="0000061C" w:rsidRDefault="000006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34" w:rsidRDefault="00E22434" w:rsidP="00D724C5">
      <w:pPr>
        <w:spacing w:after="0" w:line="240" w:lineRule="auto"/>
      </w:pPr>
      <w:r>
        <w:separator/>
      </w:r>
    </w:p>
  </w:footnote>
  <w:footnote w:type="continuationSeparator" w:id="1">
    <w:p w:rsidR="00E22434" w:rsidRDefault="00E22434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00061C" w:rsidTr="006A6080">
      <w:tc>
        <w:tcPr>
          <w:tcW w:w="1985" w:type="dxa"/>
        </w:tcPr>
        <w:p w:rsidR="0000061C" w:rsidRDefault="009735AD" w:rsidP="00D724C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-476885</wp:posOffset>
                </wp:positionV>
                <wp:extent cx="7219950" cy="1035685"/>
                <wp:effectExtent l="0" t="0" r="0" b="0"/>
                <wp:wrapNone/>
                <wp:docPr id="1" name="Imagem 1" descr="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00061C" w:rsidRPr="0082544F" w:rsidRDefault="0000061C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00061C" w:rsidRDefault="0000061C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861ED"/>
    <w:rsid w:val="0000061C"/>
    <w:rsid w:val="00002898"/>
    <w:rsid w:val="00024347"/>
    <w:rsid w:val="00033CAA"/>
    <w:rsid w:val="0003562A"/>
    <w:rsid w:val="0004740B"/>
    <w:rsid w:val="00052FAD"/>
    <w:rsid w:val="0005308C"/>
    <w:rsid w:val="000674C0"/>
    <w:rsid w:val="0007023B"/>
    <w:rsid w:val="000753A1"/>
    <w:rsid w:val="000933C9"/>
    <w:rsid w:val="00097136"/>
    <w:rsid w:val="000B4FDA"/>
    <w:rsid w:val="000C08DE"/>
    <w:rsid w:val="000C15AD"/>
    <w:rsid w:val="000C4EFE"/>
    <w:rsid w:val="000D79C4"/>
    <w:rsid w:val="000E4994"/>
    <w:rsid w:val="00104997"/>
    <w:rsid w:val="001357D3"/>
    <w:rsid w:val="00144623"/>
    <w:rsid w:val="001527AA"/>
    <w:rsid w:val="001647DB"/>
    <w:rsid w:val="00164F8D"/>
    <w:rsid w:val="00172F4D"/>
    <w:rsid w:val="00176B0D"/>
    <w:rsid w:val="00177FF4"/>
    <w:rsid w:val="00183190"/>
    <w:rsid w:val="0019134D"/>
    <w:rsid w:val="00192C4A"/>
    <w:rsid w:val="001A1E7D"/>
    <w:rsid w:val="001D1AF9"/>
    <w:rsid w:val="001E7218"/>
    <w:rsid w:val="001F49A5"/>
    <w:rsid w:val="001F505A"/>
    <w:rsid w:val="002001D3"/>
    <w:rsid w:val="00217B48"/>
    <w:rsid w:val="00221BDA"/>
    <w:rsid w:val="00247768"/>
    <w:rsid w:val="00252978"/>
    <w:rsid w:val="00270E15"/>
    <w:rsid w:val="00273A04"/>
    <w:rsid w:val="002A0DBF"/>
    <w:rsid w:val="002A310D"/>
    <w:rsid w:val="002A7A18"/>
    <w:rsid w:val="002B7849"/>
    <w:rsid w:val="002D10F4"/>
    <w:rsid w:val="002D2165"/>
    <w:rsid w:val="002E44B8"/>
    <w:rsid w:val="0030479C"/>
    <w:rsid w:val="003146E5"/>
    <w:rsid w:val="00323067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51D2"/>
    <w:rsid w:val="003B613A"/>
    <w:rsid w:val="003C5C8B"/>
    <w:rsid w:val="003D0BA8"/>
    <w:rsid w:val="003D7120"/>
    <w:rsid w:val="0040257A"/>
    <w:rsid w:val="00402A5D"/>
    <w:rsid w:val="0041404A"/>
    <w:rsid w:val="004312BA"/>
    <w:rsid w:val="004332E6"/>
    <w:rsid w:val="00433D6A"/>
    <w:rsid w:val="00436517"/>
    <w:rsid w:val="0044316A"/>
    <w:rsid w:val="00444AFF"/>
    <w:rsid w:val="00447466"/>
    <w:rsid w:val="00476F6A"/>
    <w:rsid w:val="00486F99"/>
    <w:rsid w:val="00487D28"/>
    <w:rsid w:val="004A0E45"/>
    <w:rsid w:val="004B4277"/>
    <w:rsid w:val="004C3B2E"/>
    <w:rsid w:val="004E1824"/>
    <w:rsid w:val="00531395"/>
    <w:rsid w:val="00555DB4"/>
    <w:rsid w:val="0056079C"/>
    <w:rsid w:val="00563CAB"/>
    <w:rsid w:val="0057450B"/>
    <w:rsid w:val="005858C5"/>
    <w:rsid w:val="00587DD2"/>
    <w:rsid w:val="00595582"/>
    <w:rsid w:val="005A018A"/>
    <w:rsid w:val="005A6076"/>
    <w:rsid w:val="005B11D2"/>
    <w:rsid w:val="005C4831"/>
    <w:rsid w:val="005C69D5"/>
    <w:rsid w:val="005E6E45"/>
    <w:rsid w:val="005F2357"/>
    <w:rsid w:val="005F3121"/>
    <w:rsid w:val="005F38A6"/>
    <w:rsid w:val="0060198B"/>
    <w:rsid w:val="0060662D"/>
    <w:rsid w:val="006074DB"/>
    <w:rsid w:val="00611694"/>
    <w:rsid w:val="00621412"/>
    <w:rsid w:val="00627246"/>
    <w:rsid w:val="00650AEA"/>
    <w:rsid w:val="00685F18"/>
    <w:rsid w:val="006A6080"/>
    <w:rsid w:val="006B2B9E"/>
    <w:rsid w:val="006D5E96"/>
    <w:rsid w:val="006E270E"/>
    <w:rsid w:val="006F68AD"/>
    <w:rsid w:val="00705010"/>
    <w:rsid w:val="0072121C"/>
    <w:rsid w:val="007266F1"/>
    <w:rsid w:val="00742500"/>
    <w:rsid w:val="007430A0"/>
    <w:rsid w:val="00756867"/>
    <w:rsid w:val="00763C1E"/>
    <w:rsid w:val="00764413"/>
    <w:rsid w:val="00795DA9"/>
    <w:rsid w:val="007A199B"/>
    <w:rsid w:val="007B6A01"/>
    <w:rsid w:val="007C6C5C"/>
    <w:rsid w:val="007E038C"/>
    <w:rsid w:val="00810E37"/>
    <w:rsid w:val="0082544F"/>
    <w:rsid w:val="00827A78"/>
    <w:rsid w:val="0083059D"/>
    <w:rsid w:val="0083094E"/>
    <w:rsid w:val="00834055"/>
    <w:rsid w:val="008529D1"/>
    <w:rsid w:val="00855489"/>
    <w:rsid w:val="008707ED"/>
    <w:rsid w:val="00875DDE"/>
    <w:rsid w:val="0088470D"/>
    <w:rsid w:val="0088506D"/>
    <w:rsid w:val="00885D92"/>
    <w:rsid w:val="008861ED"/>
    <w:rsid w:val="008A1909"/>
    <w:rsid w:val="008A7806"/>
    <w:rsid w:val="008B6284"/>
    <w:rsid w:val="008B7F1C"/>
    <w:rsid w:val="008C088A"/>
    <w:rsid w:val="008C3B0E"/>
    <w:rsid w:val="008D0737"/>
    <w:rsid w:val="008D0F83"/>
    <w:rsid w:val="008D56B2"/>
    <w:rsid w:val="008F3135"/>
    <w:rsid w:val="008F3712"/>
    <w:rsid w:val="008F6903"/>
    <w:rsid w:val="00923FDE"/>
    <w:rsid w:val="00925E77"/>
    <w:rsid w:val="0094281E"/>
    <w:rsid w:val="009637CA"/>
    <w:rsid w:val="009735AD"/>
    <w:rsid w:val="00984BA3"/>
    <w:rsid w:val="0099125D"/>
    <w:rsid w:val="009A6FAD"/>
    <w:rsid w:val="009B4F4C"/>
    <w:rsid w:val="009C271B"/>
    <w:rsid w:val="009D421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171"/>
    <w:rsid w:val="00A562D6"/>
    <w:rsid w:val="00A75CAF"/>
    <w:rsid w:val="00A7753C"/>
    <w:rsid w:val="00A82896"/>
    <w:rsid w:val="00A833F2"/>
    <w:rsid w:val="00A905BF"/>
    <w:rsid w:val="00AC0536"/>
    <w:rsid w:val="00AC3DF7"/>
    <w:rsid w:val="00AD29DA"/>
    <w:rsid w:val="00AD5C30"/>
    <w:rsid w:val="00AD68D9"/>
    <w:rsid w:val="00AE0FF3"/>
    <w:rsid w:val="00AE43A2"/>
    <w:rsid w:val="00AE7C2C"/>
    <w:rsid w:val="00AF1C8C"/>
    <w:rsid w:val="00B01262"/>
    <w:rsid w:val="00B06A16"/>
    <w:rsid w:val="00B46B7C"/>
    <w:rsid w:val="00B72ECE"/>
    <w:rsid w:val="00B73D22"/>
    <w:rsid w:val="00B77B55"/>
    <w:rsid w:val="00B83171"/>
    <w:rsid w:val="00BB2C23"/>
    <w:rsid w:val="00BB3C1B"/>
    <w:rsid w:val="00BC158B"/>
    <w:rsid w:val="00BC2CD1"/>
    <w:rsid w:val="00BE26DF"/>
    <w:rsid w:val="00BF313F"/>
    <w:rsid w:val="00C01262"/>
    <w:rsid w:val="00C0131A"/>
    <w:rsid w:val="00C1339D"/>
    <w:rsid w:val="00C144E7"/>
    <w:rsid w:val="00C17C1F"/>
    <w:rsid w:val="00C2614D"/>
    <w:rsid w:val="00C45FB4"/>
    <w:rsid w:val="00C46AD7"/>
    <w:rsid w:val="00C62C5E"/>
    <w:rsid w:val="00C64000"/>
    <w:rsid w:val="00C71144"/>
    <w:rsid w:val="00C71DD1"/>
    <w:rsid w:val="00C76657"/>
    <w:rsid w:val="00C80140"/>
    <w:rsid w:val="00C81C97"/>
    <w:rsid w:val="00CA054B"/>
    <w:rsid w:val="00CA6C46"/>
    <w:rsid w:val="00CB79AE"/>
    <w:rsid w:val="00CC2831"/>
    <w:rsid w:val="00CC43BB"/>
    <w:rsid w:val="00CF11A5"/>
    <w:rsid w:val="00CF3A0E"/>
    <w:rsid w:val="00D02215"/>
    <w:rsid w:val="00D37E1B"/>
    <w:rsid w:val="00D42A72"/>
    <w:rsid w:val="00D51169"/>
    <w:rsid w:val="00D5276F"/>
    <w:rsid w:val="00D52EF1"/>
    <w:rsid w:val="00D543BE"/>
    <w:rsid w:val="00D569E1"/>
    <w:rsid w:val="00D622AF"/>
    <w:rsid w:val="00D648B4"/>
    <w:rsid w:val="00D7112E"/>
    <w:rsid w:val="00D724C5"/>
    <w:rsid w:val="00D93ECF"/>
    <w:rsid w:val="00DB37DF"/>
    <w:rsid w:val="00DB66BB"/>
    <w:rsid w:val="00DC718D"/>
    <w:rsid w:val="00DD2D8E"/>
    <w:rsid w:val="00DE746B"/>
    <w:rsid w:val="00DF1A3D"/>
    <w:rsid w:val="00DF5FF0"/>
    <w:rsid w:val="00E1378C"/>
    <w:rsid w:val="00E208AF"/>
    <w:rsid w:val="00E22434"/>
    <w:rsid w:val="00E25994"/>
    <w:rsid w:val="00E26B1A"/>
    <w:rsid w:val="00E309A1"/>
    <w:rsid w:val="00E34574"/>
    <w:rsid w:val="00E36187"/>
    <w:rsid w:val="00E4374C"/>
    <w:rsid w:val="00E530E5"/>
    <w:rsid w:val="00E53940"/>
    <w:rsid w:val="00E63CC7"/>
    <w:rsid w:val="00E713C6"/>
    <w:rsid w:val="00E81F95"/>
    <w:rsid w:val="00E87D74"/>
    <w:rsid w:val="00EA0E91"/>
    <w:rsid w:val="00EA4B25"/>
    <w:rsid w:val="00EB6598"/>
    <w:rsid w:val="00EC0068"/>
    <w:rsid w:val="00ED51EE"/>
    <w:rsid w:val="00EF14C0"/>
    <w:rsid w:val="00EF2F40"/>
    <w:rsid w:val="00F2213C"/>
    <w:rsid w:val="00F30D97"/>
    <w:rsid w:val="00F40A5B"/>
    <w:rsid w:val="00F51481"/>
    <w:rsid w:val="00F51CBA"/>
    <w:rsid w:val="00F52A2B"/>
    <w:rsid w:val="00F54DB1"/>
    <w:rsid w:val="00F60A27"/>
    <w:rsid w:val="00F6265E"/>
    <w:rsid w:val="00F64AB3"/>
    <w:rsid w:val="00F67504"/>
    <w:rsid w:val="00F75AB9"/>
    <w:rsid w:val="00F76CB0"/>
    <w:rsid w:val="00FA0A72"/>
    <w:rsid w:val="00FA5F55"/>
    <w:rsid w:val="00FB21CB"/>
    <w:rsid w:val="00FC08C6"/>
    <w:rsid w:val="00FC701A"/>
    <w:rsid w:val="00FD15E6"/>
    <w:rsid w:val="00FD5891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D"/>
    <w:pPr>
      <w:spacing w:after="200" w:line="276" w:lineRule="auto"/>
    </w:pPr>
    <w:rPr>
      <w:rFonts w:eastAsia="MS Mincho"/>
      <w:sz w:val="22"/>
      <w:szCs w:val="22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eastAsia="Calibri" w:hAnsi="Times New Roman"/>
      <w:b/>
      <w:bCs/>
      <w:lang w:eastAsia="en-US"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eastAsia="Calibri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  <w:rPr>
      <w:rFonts w:eastAsia="Calibri"/>
      <w:lang w:eastAsia="en-US"/>
    </w:rPr>
  </w:style>
  <w:style w:type="paragraph" w:styleId="Ttulo">
    <w:name w:val="Title"/>
    <w:basedOn w:val="Normal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styleId="Recuodecorpodetexto2">
    <w:name w:val="Body Text Indent 2"/>
    <w:basedOn w:val="Normal"/>
    <w:link w:val="Recuodecorpodetexto2Char"/>
    <w:rsid w:val="008861ED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Recuodecorpodetexto2Char">
    <w:name w:val="Recuo de corpo de texto 2 Char"/>
    <w:link w:val="Recuodecorpodetexto2"/>
    <w:rsid w:val="008861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B37E-1C78-48F6-A089-9DFB3C3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Vanildes Yoshihara</dc:creator>
  <cp:lastModifiedBy>michele</cp:lastModifiedBy>
  <cp:revision>2</cp:revision>
  <cp:lastPrinted>2018-10-08T15:41:00Z</cp:lastPrinted>
  <dcterms:created xsi:type="dcterms:W3CDTF">2018-12-13T14:59:00Z</dcterms:created>
  <dcterms:modified xsi:type="dcterms:W3CDTF">2018-12-13T14:59:00Z</dcterms:modified>
</cp:coreProperties>
</file>