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B" w:rsidRDefault="005C57BB" w:rsidP="00A4394A">
      <w:pPr>
        <w:spacing w:after="0" w:line="360" w:lineRule="auto"/>
        <w:jc w:val="both"/>
        <w:rPr>
          <w:rFonts w:ascii="Arial Narrow" w:hAnsi="Arial Narrow"/>
        </w:rPr>
      </w:pPr>
    </w:p>
    <w:p w:rsidR="008D426C" w:rsidRPr="00A4394A" w:rsidRDefault="008F3624" w:rsidP="00A4394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Mensagem nº 57</w:t>
      </w:r>
      <w:r w:rsidR="008D426C" w:rsidRPr="00A4394A">
        <w:rPr>
          <w:rFonts w:ascii="Arial Narrow" w:hAnsi="Arial Narrow"/>
        </w:rPr>
        <w:t xml:space="preserve"> /2019</w:t>
      </w:r>
    </w:p>
    <w:p w:rsidR="008D426C" w:rsidRPr="00A4394A" w:rsidRDefault="008D426C" w:rsidP="00A4394A">
      <w:pPr>
        <w:spacing w:after="0" w:line="360" w:lineRule="auto"/>
        <w:jc w:val="both"/>
        <w:rPr>
          <w:rFonts w:ascii="Arial Narrow" w:hAnsi="Arial Narrow"/>
        </w:rPr>
      </w:pPr>
    </w:p>
    <w:p w:rsidR="008D426C" w:rsidRPr="00A4394A" w:rsidRDefault="008D426C" w:rsidP="00A4394A">
      <w:pPr>
        <w:spacing w:after="0" w:line="360" w:lineRule="auto"/>
        <w:jc w:val="right"/>
        <w:rPr>
          <w:rFonts w:ascii="Arial Narrow" w:hAnsi="Arial Narrow"/>
        </w:rPr>
      </w:pPr>
      <w:r w:rsidRPr="00A4394A">
        <w:rPr>
          <w:rFonts w:ascii="Arial Narrow" w:hAnsi="Arial Narrow"/>
        </w:rPr>
        <w:t xml:space="preserve">                                                                            </w:t>
      </w:r>
      <w:r w:rsidR="008F3624">
        <w:rPr>
          <w:rFonts w:ascii="Arial Narrow" w:hAnsi="Arial Narrow"/>
        </w:rPr>
        <w:t xml:space="preserve">          São Sebastião, 12 </w:t>
      </w:r>
      <w:r w:rsidRPr="00A4394A">
        <w:rPr>
          <w:rFonts w:ascii="Arial Narrow" w:hAnsi="Arial Narrow"/>
        </w:rPr>
        <w:t>de novembro de 2019.</w:t>
      </w:r>
    </w:p>
    <w:p w:rsidR="008D426C" w:rsidRPr="00A4394A" w:rsidRDefault="008D426C" w:rsidP="00A4394A">
      <w:pPr>
        <w:spacing w:after="0" w:line="360" w:lineRule="auto"/>
        <w:jc w:val="both"/>
        <w:rPr>
          <w:rFonts w:ascii="Arial Narrow" w:hAnsi="Arial Narrow"/>
        </w:rPr>
      </w:pPr>
    </w:p>
    <w:p w:rsidR="008D426C" w:rsidRPr="00A4394A" w:rsidRDefault="008D426C" w:rsidP="00A4394A">
      <w:pPr>
        <w:spacing w:after="0" w:line="240" w:lineRule="auto"/>
        <w:jc w:val="both"/>
        <w:rPr>
          <w:rFonts w:ascii="Arial Narrow" w:hAnsi="Arial Narrow"/>
        </w:rPr>
      </w:pPr>
    </w:p>
    <w:p w:rsidR="008D426C" w:rsidRPr="00A4394A" w:rsidRDefault="008D426C" w:rsidP="00A4394A">
      <w:pPr>
        <w:spacing w:after="0" w:line="240" w:lineRule="auto"/>
        <w:jc w:val="both"/>
        <w:rPr>
          <w:rFonts w:ascii="Arial Narrow" w:hAnsi="Arial Narrow"/>
        </w:rPr>
      </w:pPr>
      <w:r w:rsidRPr="00A4394A">
        <w:rPr>
          <w:rFonts w:ascii="Arial Narrow" w:hAnsi="Arial Narrow"/>
        </w:rPr>
        <w:t xml:space="preserve">Exmo. Sr. </w:t>
      </w:r>
    </w:p>
    <w:p w:rsidR="008D426C" w:rsidRPr="00A4394A" w:rsidRDefault="008D426C" w:rsidP="00A4394A">
      <w:pPr>
        <w:spacing w:after="0" w:line="240" w:lineRule="auto"/>
        <w:jc w:val="both"/>
        <w:rPr>
          <w:rFonts w:ascii="Arial Narrow" w:hAnsi="Arial Narrow"/>
        </w:rPr>
      </w:pPr>
      <w:r w:rsidRPr="00A4394A">
        <w:rPr>
          <w:rFonts w:ascii="Arial Narrow" w:hAnsi="Arial Narrow"/>
        </w:rPr>
        <w:t>Vereador Edivaldo Pereira Campos</w:t>
      </w:r>
    </w:p>
    <w:p w:rsidR="008D426C" w:rsidRPr="00A4394A" w:rsidRDefault="008D426C" w:rsidP="00A4394A">
      <w:pPr>
        <w:spacing w:after="0" w:line="240" w:lineRule="auto"/>
        <w:jc w:val="both"/>
        <w:rPr>
          <w:rFonts w:ascii="Arial Narrow" w:hAnsi="Arial Narrow"/>
        </w:rPr>
      </w:pPr>
      <w:r w:rsidRPr="00A4394A">
        <w:rPr>
          <w:rFonts w:ascii="Arial Narrow" w:hAnsi="Arial Narrow"/>
        </w:rPr>
        <w:t>DD. Presidente da Câmara de Vereadores de São Sebastião – SP.</w:t>
      </w:r>
    </w:p>
    <w:p w:rsidR="008D426C" w:rsidRPr="00A4394A" w:rsidRDefault="008D426C" w:rsidP="00A4394A">
      <w:pPr>
        <w:spacing w:after="0" w:line="360" w:lineRule="auto"/>
        <w:jc w:val="both"/>
        <w:rPr>
          <w:rFonts w:ascii="Arial Narrow" w:hAnsi="Arial Narrow"/>
        </w:rPr>
      </w:pPr>
    </w:p>
    <w:p w:rsidR="008D426C" w:rsidRDefault="008D426C" w:rsidP="00A4394A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5C57BB" w:rsidRPr="00A4394A" w:rsidRDefault="005C57BB" w:rsidP="00A4394A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8D426C" w:rsidRPr="00A4394A" w:rsidRDefault="00A4394A" w:rsidP="00A4394A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A4394A">
        <w:rPr>
          <w:rFonts w:ascii="Arial Narrow" w:hAnsi="Arial Narrow"/>
        </w:rPr>
        <w:t xml:space="preserve">Sirvo-me do presente para encaminhar a essa Casa de Leis, para apreciação e deliberação dos Nobres Vereadores, aos quais formulo nesta oportunidade meus cordiais </w:t>
      </w:r>
      <w:r w:rsidRPr="00A4394A">
        <w:rPr>
          <w:rFonts w:ascii="Arial Narrow" w:hAnsi="Arial Narrow" w:cs="Arial"/>
        </w:rPr>
        <w:t>cumprimentos, o incluso Projeto de Lei Complementar que “</w:t>
      </w:r>
      <w:r w:rsidRPr="00A4394A">
        <w:rPr>
          <w:rFonts w:ascii="Arial Narrow" w:hAnsi="Arial Narrow"/>
        </w:rPr>
        <w:t>Dispõe sobre reenquadramento de cargo público no âmbito do funcionalismo municipal</w:t>
      </w:r>
      <w:r>
        <w:rPr>
          <w:rFonts w:ascii="Arial Narrow" w:hAnsi="Arial Narrow"/>
        </w:rPr>
        <w:t>”.</w:t>
      </w:r>
    </w:p>
    <w:p w:rsidR="00A4394A" w:rsidRDefault="00A4394A" w:rsidP="00A4394A">
      <w:pPr>
        <w:spacing w:after="0" w:line="360" w:lineRule="auto"/>
        <w:ind w:firstLine="1134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1134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Trata-se de Projeto de Lei</w:t>
      </w:r>
      <w:r>
        <w:rPr>
          <w:rFonts w:ascii="Arial Narrow" w:hAnsi="Arial Narrow" w:cs="Arial"/>
          <w:bCs/>
          <w:color w:val="000000"/>
        </w:rPr>
        <w:t xml:space="preserve"> Complementar</w:t>
      </w:r>
      <w:r w:rsidRPr="00A4394A">
        <w:rPr>
          <w:rFonts w:ascii="Arial Narrow" w:hAnsi="Arial Narrow" w:cs="Arial"/>
          <w:bCs/>
          <w:color w:val="000000"/>
        </w:rPr>
        <w:t xml:space="preserve"> que visa alterar a referência salarial de dois cargos: Advogado, reenquadrando de treze para vinte e dois, e Assistente de Pessoal, reenquadrando de oito para doze, nos termos do anexo I da Lei nº. 2455/2017.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Quanto ao primeiro, justifica-se que desde o ato de criação o salário do cargo de Advogado foi fixado na mesma referência salarial do cargo de Procurador, considerando que ambos exigem igual grau de escolaridade, idêntica formação e inscrição no Conselho da Classe, similaridade no conteúdo programático em concursos públicos e estreita afinidade de atribuições.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Ocorre que com a Lei Complementar nº. 243/2019, institui-se um distanciamento nos vencimentos entre os dois cargos, que desde sua origem apresentavam a mesma referência salarial, em concordância com a semelhança de funções. Desigualdade que este projeto propõe retificar.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Quanto ao segundo, justifica-se que com a vigência da Lei Complementar nº. 94/2008, cargos de diferentes descrição de atividades e níveis de escolaridade incompatíveis foram unificados em um novo cargo, e os salários igualados ao valor maior: referência oito.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Dessa forma, os cargos de Almoxarife, Apontador, Escriturário e Oficial Administrativo, cuja escolaridade exigida nos últimos concursos foi Ensino Fundamental Completo e sem conhecimentos específicos, foram equiparados ao salário do cargo de Assistente de Pessoal, cujo concurso exigiu Ensino Médio Completo e conhecimentos específicos na área trabalhistas: leis e cálculos.</w:t>
      </w:r>
    </w:p>
    <w:p w:rsidR="005C57BB" w:rsidRDefault="005C57BB" w:rsidP="005C57BB">
      <w:pPr>
        <w:spacing w:after="0" w:line="360" w:lineRule="auto"/>
        <w:jc w:val="both"/>
        <w:rPr>
          <w:rFonts w:ascii="Arial Narrow" w:hAnsi="Arial Narrow" w:cs="Arial"/>
          <w:bCs/>
          <w:color w:val="000000"/>
        </w:rPr>
      </w:pPr>
    </w:p>
    <w:p w:rsidR="005C57BB" w:rsidRDefault="005C57BB" w:rsidP="005C57BB">
      <w:pPr>
        <w:spacing w:after="0" w:line="360" w:lineRule="auto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Após a declaração de inconstitucionalidade, conforme acordão proferido no processo nº. 990.10.020.792, a Lei Complementar nº. 205/2015 revogou o artigo da lei anterior, retornando os servidores ao seus cargos de origem e respectivas atribuições e alterando a referência salarial de cada um dos cargos, elevando todos à referência oito. Assim, foi mantida a isonomia salarial com o cargo de Assistente de Pessoal, que possui escolaridade superior e atribuições específicas.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P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 xml:space="preserve">Embora a nova lei complementar regularize a questão de nomenclatura dos cargos, ainda observa-se a violação do princípio do concurso público e do princípio da isonomia, previstos da Constituição Federal e citados no mesmo acordão. </w:t>
      </w: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</w:p>
    <w:p w:rsidR="00A4394A" w:rsidRDefault="00A4394A" w:rsidP="00A4394A">
      <w:pPr>
        <w:spacing w:after="0" w:line="360" w:lineRule="auto"/>
        <w:ind w:firstLine="708"/>
        <w:jc w:val="both"/>
        <w:rPr>
          <w:rFonts w:ascii="Arial Narrow" w:hAnsi="Arial Narrow" w:cs="Arial"/>
          <w:bCs/>
          <w:color w:val="000000"/>
        </w:rPr>
      </w:pPr>
      <w:r w:rsidRPr="00A4394A">
        <w:rPr>
          <w:rFonts w:ascii="Arial Narrow" w:hAnsi="Arial Narrow" w:cs="Arial"/>
          <w:bCs/>
          <w:color w:val="000000"/>
        </w:rPr>
        <w:t>Este Projeto de Lei</w:t>
      </w:r>
      <w:r>
        <w:rPr>
          <w:rFonts w:ascii="Arial Narrow" w:hAnsi="Arial Narrow" w:cs="Arial"/>
          <w:bCs/>
          <w:color w:val="000000"/>
        </w:rPr>
        <w:t xml:space="preserve"> Complementar</w:t>
      </w:r>
      <w:r w:rsidR="005C57BB">
        <w:rPr>
          <w:rFonts w:ascii="Arial Narrow" w:hAnsi="Arial Narrow" w:cs="Arial"/>
          <w:bCs/>
          <w:color w:val="000000"/>
        </w:rPr>
        <w:t xml:space="preserve"> </w:t>
      </w:r>
      <w:r w:rsidRPr="00A4394A">
        <w:rPr>
          <w:rFonts w:ascii="Arial Narrow" w:hAnsi="Arial Narrow" w:cs="Arial"/>
          <w:bCs/>
          <w:color w:val="000000"/>
        </w:rPr>
        <w:t>vai ao encontro das ações da Prefeitura, que vem adotando medidas de melhor valorização salarial do quadro de pessoal, conforme as recentes Leis Complementares nº. 242/2019 e 243/2019, atendendo às reivindicações dos próprios servidores e corrigindo atos anteriores.</w:t>
      </w:r>
    </w:p>
    <w:p w:rsidR="005C57BB" w:rsidRDefault="005C57BB" w:rsidP="005C57BB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</w:pPr>
    </w:p>
    <w:p w:rsidR="005C57BB" w:rsidRPr="005C57BB" w:rsidRDefault="005C57BB" w:rsidP="005C57BB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5C57BB">
        <w:rPr>
          <w:rFonts w:ascii="Arial Narrow" w:eastAsia="Times New Roman" w:hAnsi="Arial Narrow" w:cs="Arial"/>
          <w:color w:val="000000"/>
          <w:shd w:val="clear" w:color="auto" w:fill="FBFBFB"/>
        </w:rPr>
        <w:t>Diante das circunstâncias evidenciadas, bem como as demais providências administrativas, requer-se de Vossa Excelência seja o presente Projeto de Lei Complementar submetido ao Regime de Tramitação Urgência Especial, nos moldes do disposto no artigo 130, inciso I do Regimento Interno desta Casa.</w:t>
      </w:r>
    </w:p>
    <w:p w:rsidR="004307F6" w:rsidRPr="00A4394A" w:rsidRDefault="004307F6" w:rsidP="005C57BB">
      <w:pPr>
        <w:spacing w:after="0" w:line="360" w:lineRule="auto"/>
        <w:jc w:val="both"/>
        <w:rPr>
          <w:rFonts w:ascii="Arial Narrow" w:hAnsi="Arial Narrow" w:cs="Arial"/>
        </w:rPr>
      </w:pPr>
    </w:p>
    <w:p w:rsidR="004307F6" w:rsidRPr="00A4394A" w:rsidRDefault="004307F6" w:rsidP="00A4394A">
      <w:pPr>
        <w:spacing w:after="0" w:line="360" w:lineRule="auto"/>
        <w:ind w:firstLine="1276"/>
        <w:jc w:val="both"/>
        <w:rPr>
          <w:rFonts w:ascii="Arial Narrow" w:hAnsi="Arial Narrow" w:cs="Arial"/>
        </w:rPr>
      </w:pPr>
    </w:p>
    <w:p w:rsidR="009D7C26" w:rsidRPr="00A4394A" w:rsidRDefault="009D7C26" w:rsidP="00A4394A">
      <w:pPr>
        <w:spacing w:after="0" w:line="360" w:lineRule="auto"/>
        <w:rPr>
          <w:rFonts w:ascii="Arial Narrow" w:hAnsi="Arial Narrow" w:cs="Arial"/>
        </w:rPr>
      </w:pPr>
      <w:r w:rsidRPr="00A4394A">
        <w:rPr>
          <w:rFonts w:ascii="Arial Narrow" w:hAnsi="Arial Narrow" w:cs="Arial"/>
        </w:rPr>
        <w:t xml:space="preserve">                                                                   </w:t>
      </w:r>
    </w:p>
    <w:p w:rsidR="009D7C26" w:rsidRPr="00A4394A" w:rsidRDefault="009D7C26" w:rsidP="00A4394A">
      <w:pPr>
        <w:spacing w:after="0" w:line="360" w:lineRule="auto"/>
        <w:rPr>
          <w:rFonts w:ascii="Arial Narrow" w:hAnsi="Arial Narrow" w:cs="Arial"/>
        </w:rPr>
      </w:pPr>
    </w:p>
    <w:p w:rsidR="004307F6" w:rsidRDefault="004307F6" w:rsidP="005C57BB">
      <w:pPr>
        <w:spacing w:after="0" w:line="360" w:lineRule="auto"/>
        <w:rPr>
          <w:rFonts w:ascii="Arial Narrow" w:hAnsi="Arial Narrow" w:cs="Arial"/>
          <w:b/>
        </w:rPr>
      </w:pPr>
    </w:p>
    <w:p w:rsidR="005C57BB" w:rsidRPr="00A4394A" w:rsidRDefault="005C57BB" w:rsidP="005C57BB">
      <w:pPr>
        <w:spacing w:after="0" w:line="360" w:lineRule="auto"/>
        <w:rPr>
          <w:rFonts w:ascii="Arial Narrow" w:hAnsi="Arial Narrow" w:cs="Arial"/>
          <w:b/>
        </w:rPr>
      </w:pPr>
    </w:p>
    <w:p w:rsidR="00C42122" w:rsidRPr="00A4394A" w:rsidRDefault="00C42122" w:rsidP="00A4394A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4394A">
        <w:rPr>
          <w:rFonts w:ascii="Arial Narrow" w:hAnsi="Arial Narrow" w:cs="Arial"/>
          <w:b/>
        </w:rPr>
        <w:t>FELIPE AUGUSTO</w:t>
      </w:r>
    </w:p>
    <w:p w:rsidR="0088470D" w:rsidRPr="00A4394A" w:rsidRDefault="00C42122" w:rsidP="00A4394A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4394A">
        <w:rPr>
          <w:rFonts w:ascii="Arial Narrow" w:hAnsi="Arial Narrow" w:cs="Arial"/>
          <w:b/>
        </w:rPr>
        <w:t>Prefeito</w:t>
      </w:r>
    </w:p>
    <w:p w:rsidR="00EF4E12" w:rsidRPr="00A4394A" w:rsidRDefault="00EF4E12" w:rsidP="00A4394A">
      <w:pPr>
        <w:spacing w:after="0" w:line="360" w:lineRule="auto"/>
        <w:jc w:val="center"/>
        <w:rPr>
          <w:rFonts w:ascii="Arial Narrow" w:hAnsi="Arial Narrow" w:cs="Arial"/>
          <w:b/>
        </w:rPr>
      </w:pPr>
    </w:p>
    <w:p w:rsidR="00B2724B" w:rsidRPr="00A4394A" w:rsidRDefault="00B2724B" w:rsidP="00A4394A">
      <w:pPr>
        <w:spacing w:after="0" w:line="360" w:lineRule="auto"/>
        <w:jc w:val="center"/>
        <w:rPr>
          <w:rFonts w:ascii="Arial Narrow" w:hAnsi="Arial Narrow" w:cs="Arial"/>
          <w:b/>
        </w:rPr>
      </w:pPr>
    </w:p>
    <w:sectPr w:rsidR="00B2724B" w:rsidRPr="00A4394A" w:rsidSect="00310E97">
      <w:headerReference w:type="default" r:id="rId8"/>
      <w:footerReference w:type="default" r:id="rId9"/>
      <w:pgSz w:w="11906" w:h="16838" w:code="9"/>
      <w:pgMar w:top="1773" w:right="1134" w:bottom="720" w:left="1701" w:header="855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53" w:rsidRDefault="00B11D53" w:rsidP="00D724C5">
      <w:pPr>
        <w:spacing w:after="0" w:line="240" w:lineRule="auto"/>
      </w:pPr>
      <w:r>
        <w:separator/>
      </w:r>
    </w:p>
  </w:endnote>
  <w:endnote w:type="continuationSeparator" w:id="1">
    <w:p w:rsidR="00B11D53" w:rsidRDefault="00B11D53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446817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53" w:rsidRDefault="00B11D53" w:rsidP="00D724C5">
      <w:pPr>
        <w:spacing w:after="0" w:line="240" w:lineRule="auto"/>
      </w:pPr>
      <w:r>
        <w:separator/>
      </w:r>
    </w:p>
  </w:footnote>
  <w:footnote w:type="continuationSeparator" w:id="1">
    <w:p w:rsidR="00B11D53" w:rsidRDefault="00B11D53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446817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-381000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310E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743"/>
    <w:multiLevelType w:val="hybridMultilevel"/>
    <w:tmpl w:val="FC6E8E6E"/>
    <w:lvl w:ilvl="0" w:tplc="6AA2240A">
      <w:start w:val="1"/>
      <w:numFmt w:val="lowerLetter"/>
      <w:lvlText w:val="%1)"/>
      <w:lvlJc w:val="left"/>
      <w:pPr>
        <w:ind w:left="184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F5B3B"/>
    <w:multiLevelType w:val="hybridMultilevel"/>
    <w:tmpl w:val="97123AD4"/>
    <w:lvl w:ilvl="0" w:tplc="DC66EDC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80D46"/>
    <w:multiLevelType w:val="hybridMultilevel"/>
    <w:tmpl w:val="6A2A621C"/>
    <w:lvl w:ilvl="0" w:tplc="4F26FBBC">
      <w:start w:val="1"/>
      <w:numFmt w:val="lowerLetter"/>
      <w:lvlText w:val="%1)"/>
      <w:lvlJc w:val="left"/>
      <w:pPr>
        <w:ind w:left="1845" w:hanging="360"/>
      </w:pPr>
      <w:rPr>
        <w:rFonts w:ascii="Arial Narrow" w:eastAsia="Calibri" w:hAnsi="Arial Narrow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87CC3"/>
    <w:rsid w:val="000933C9"/>
    <w:rsid w:val="00097136"/>
    <w:rsid w:val="000A155F"/>
    <w:rsid w:val="000A15E0"/>
    <w:rsid w:val="000B1BF0"/>
    <w:rsid w:val="000B4FDA"/>
    <w:rsid w:val="000C08DE"/>
    <w:rsid w:val="000C15AD"/>
    <w:rsid w:val="000C4EFE"/>
    <w:rsid w:val="000C7144"/>
    <w:rsid w:val="000D79C4"/>
    <w:rsid w:val="000F6A93"/>
    <w:rsid w:val="001001B1"/>
    <w:rsid w:val="00104997"/>
    <w:rsid w:val="0011258C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D2165"/>
    <w:rsid w:val="002E6124"/>
    <w:rsid w:val="002F32FB"/>
    <w:rsid w:val="0030479C"/>
    <w:rsid w:val="00304CDD"/>
    <w:rsid w:val="00310E97"/>
    <w:rsid w:val="003146E5"/>
    <w:rsid w:val="0032011D"/>
    <w:rsid w:val="00326BB0"/>
    <w:rsid w:val="003272EF"/>
    <w:rsid w:val="00332C3E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3E4BE0"/>
    <w:rsid w:val="00402A5D"/>
    <w:rsid w:val="0041404A"/>
    <w:rsid w:val="004307F6"/>
    <w:rsid w:val="004332E6"/>
    <w:rsid w:val="00433D6A"/>
    <w:rsid w:val="00436517"/>
    <w:rsid w:val="0044316A"/>
    <w:rsid w:val="00444AFF"/>
    <w:rsid w:val="00446817"/>
    <w:rsid w:val="00463277"/>
    <w:rsid w:val="00476F6A"/>
    <w:rsid w:val="00481095"/>
    <w:rsid w:val="00486F99"/>
    <w:rsid w:val="004A0E45"/>
    <w:rsid w:val="004B4277"/>
    <w:rsid w:val="004C3B2E"/>
    <w:rsid w:val="004C467E"/>
    <w:rsid w:val="004E1824"/>
    <w:rsid w:val="004F532F"/>
    <w:rsid w:val="00515806"/>
    <w:rsid w:val="00555DB4"/>
    <w:rsid w:val="0056079C"/>
    <w:rsid w:val="00563CAB"/>
    <w:rsid w:val="005A018A"/>
    <w:rsid w:val="005A6076"/>
    <w:rsid w:val="005B11D2"/>
    <w:rsid w:val="005B5293"/>
    <w:rsid w:val="005B6F1B"/>
    <w:rsid w:val="005C57BB"/>
    <w:rsid w:val="005C5FD8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50AEA"/>
    <w:rsid w:val="00652757"/>
    <w:rsid w:val="006732E7"/>
    <w:rsid w:val="00685F18"/>
    <w:rsid w:val="00694B0C"/>
    <w:rsid w:val="006A6080"/>
    <w:rsid w:val="006B2B9E"/>
    <w:rsid w:val="006B3A78"/>
    <w:rsid w:val="006C4E23"/>
    <w:rsid w:val="006E270E"/>
    <w:rsid w:val="006F68AD"/>
    <w:rsid w:val="0070274C"/>
    <w:rsid w:val="00703AFE"/>
    <w:rsid w:val="00705010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146EA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C7A42"/>
    <w:rsid w:val="008D0F83"/>
    <w:rsid w:val="008D426C"/>
    <w:rsid w:val="008D56B2"/>
    <w:rsid w:val="008F3624"/>
    <w:rsid w:val="008F3712"/>
    <w:rsid w:val="009025A4"/>
    <w:rsid w:val="00907921"/>
    <w:rsid w:val="0091365E"/>
    <w:rsid w:val="00923FDE"/>
    <w:rsid w:val="00925E77"/>
    <w:rsid w:val="0093074E"/>
    <w:rsid w:val="0094281E"/>
    <w:rsid w:val="00960BB6"/>
    <w:rsid w:val="009637CA"/>
    <w:rsid w:val="00967A27"/>
    <w:rsid w:val="00984BA3"/>
    <w:rsid w:val="0099125D"/>
    <w:rsid w:val="009B4F4C"/>
    <w:rsid w:val="009C271B"/>
    <w:rsid w:val="009C702A"/>
    <w:rsid w:val="009D7C26"/>
    <w:rsid w:val="009F33CE"/>
    <w:rsid w:val="00A02B76"/>
    <w:rsid w:val="00A1058B"/>
    <w:rsid w:val="00A11931"/>
    <w:rsid w:val="00A120AC"/>
    <w:rsid w:val="00A132AB"/>
    <w:rsid w:val="00A13A54"/>
    <w:rsid w:val="00A16E04"/>
    <w:rsid w:val="00A2760C"/>
    <w:rsid w:val="00A30AE2"/>
    <w:rsid w:val="00A331D2"/>
    <w:rsid w:val="00A34619"/>
    <w:rsid w:val="00A4394A"/>
    <w:rsid w:val="00A455D7"/>
    <w:rsid w:val="00A562D6"/>
    <w:rsid w:val="00A62071"/>
    <w:rsid w:val="00A71B0A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11D53"/>
    <w:rsid w:val="00B2724B"/>
    <w:rsid w:val="00B343DD"/>
    <w:rsid w:val="00B46B7C"/>
    <w:rsid w:val="00B53760"/>
    <w:rsid w:val="00B72ECE"/>
    <w:rsid w:val="00B73D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3B50"/>
    <w:rsid w:val="00BD4404"/>
    <w:rsid w:val="00BD5FF7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647C7"/>
    <w:rsid w:val="00C71144"/>
    <w:rsid w:val="00C71DD1"/>
    <w:rsid w:val="00C76657"/>
    <w:rsid w:val="00C80140"/>
    <w:rsid w:val="00C81C97"/>
    <w:rsid w:val="00C95E88"/>
    <w:rsid w:val="00CA054B"/>
    <w:rsid w:val="00CA34E4"/>
    <w:rsid w:val="00CB79AE"/>
    <w:rsid w:val="00CC2831"/>
    <w:rsid w:val="00CC43BB"/>
    <w:rsid w:val="00CF3A0E"/>
    <w:rsid w:val="00D02215"/>
    <w:rsid w:val="00D37E1B"/>
    <w:rsid w:val="00D42A72"/>
    <w:rsid w:val="00D51169"/>
    <w:rsid w:val="00D5276F"/>
    <w:rsid w:val="00D569E1"/>
    <w:rsid w:val="00D60D95"/>
    <w:rsid w:val="00D622AF"/>
    <w:rsid w:val="00D724C5"/>
    <w:rsid w:val="00D76836"/>
    <w:rsid w:val="00D851A4"/>
    <w:rsid w:val="00D93ECF"/>
    <w:rsid w:val="00DB634B"/>
    <w:rsid w:val="00DB66BB"/>
    <w:rsid w:val="00DC718D"/>
    <w:rsid w:val="00DD2D8E"/>
    <w:rsid w:val="00DD6DCE"/>
    <w:rsid w:val="00DE1DFE"/>
    <w:rsid w:val="00DE746B"/>
    <w:rsid w:val="00DF1A3D"/>
    <w:rsid w:val="00DF5FF0"/>
    <w:rsid w:val="00E01571"/>
    <w:rsid w:val="00E03D84"/>
    <w:rsid w:val="00E0524E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75B44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E4441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81B8-7314-4883-B5D8-47FB3176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Secretaria</cp:lastModifiedBy>
  <cp:revision>2</cp:revision>
  <cp:lastPrinted>2019-10-31T17:54:00Z</cp:lastPrinted>
  <dcterms:created xsi:type="dcterms:W3CDTF">2019-11-13T17:59:00Z</dcterms:created>
  <dcterms:modified xsi:type="dcterms:W3CDTF">2019-11-13T17:59:00Z</dcterms:modified>
</cp:coreProperties>
</file>