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76" w:rsidRPr="00F23AC5" w:rsidRDefault="00F23AC5" w:rsidP="007238C3">
      <w:pPr>
        <w:spacing w:after="0" w:line="360" w:lineRule="auto"/>
        <w:ind w:right="-285"/>
        <w:jc w:val="both"/>
        <w:rPr>
          <w:rFonts w:ascii="Arial Narrow" w:eastAsia="Times New Roman" w:hAnsi="Arial Narrow" w:cs="Calibri"/>
          <w:b/>
          <w:sz w:val="27"/>
          <w:szCs w:val="27"/>
          <w:lang w:eastAsia="pt-BR"/>
        </w:rPr>
      </w:pPr>
      <w:r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J</w:t>
      </w:r>
      <w:r w:rsidR="00F66C76"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USTIFICATIVA</w:t>
      </w:r>
    </w:p>
    <w:p w:rsidR="001F22AF" w:rsidRPr="00F23AC5" w:rsidRDefault="001F22AF" w:rsidP="007238C3">
      <w:pPr>
        <w:spacing w:after="0" w:line="360" w:lineRule="auto"/>
        <w:ind w:right="-285"/>
        <w:jc w:val="both"/>
        <w:rPr>
          <w:rFonts w:ascii="Arial Narrow" w:eastAsia="Times New Roman" w:hAnsi="Arial Narrow" w:cs="Calibri"/>
          <w:b/>
          <w:sz w:val="27"/>
          <w:szCs w:val="27"/>
          <w:lang w:eastAsia="pt-BR"/>
        </w:rPr>
      </w:pPr>
    </w:p>
    <w:p w:rsidR="00FE36FE" w:rsidRPr="00F23AC5" w:rsidRDefault="001F22AF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O projeto de lei em tese</w:t>
      </w:r>
      <w:r w:rsidR="00FE36FE" w:rsidRPr="00F23AC5">
        <w:rPr>
          <w:rFonts w:ascii="Arial Narrow" w:hAnsi="Arial Narrow" w:cs="Calibri"/>
          <w:sz w:val="27"/>
          <w:szCs w:val="27"/>
        </w:rPr>
        <w:t xml:space="preserve"> almeja orientar pessoas idosas contra fraudes e golpes praticados por terceiros de má-fé no âmbito do comércio eletrônico e da internet.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Desde a declaração de pandemia pelo novo Corona vírus, em março de 2020, o volume de transações no comércio digital cresceu 80% e, a reboque, as operações bancárias feitas por pessoas físicas pelos canais digitais (internet e mobile banking) somaram 74% das movimentações em abril, um mês após o início da quarentena e das medidas de isolamento social.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Os idosos, obrigados a um confinamento rigoroso, passaram a fazer uso das plataformas digitais e foram responsáveis por uma parcela significativa desse incremento no e-commerce e nas operações bancárias eletrônicas. Eles, porque não estavam – e ainda não estão - habituados a utilizar as plataformas digitais, acabaram por se tornar vítimas fáceis de golpistas.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Tanto é assim que, levantamento da Federação Brasileira de Bancos - FEBRABAN revela que, durante o período da pandemia, houve um aumento de 60% em tentativas de golpes financeiros contra idosos.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Este segmento da sociedade, o da melhor idade, além de se encontrar em franco crescimento, também é o público mais vulnerável, porque padece de natural declínio físico e mental.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 Por força de comando constitucional (art. 230, CR), os idosos não podem ficar desassistidos, figurando como alvos fáceis de fraudadores digitais. O Estado (União, Estados-membros, Distrito Federal e Municípios) tem a obrigação </w:t>
      </w:r>
      <w:r w:rsidR="00F4021B" w:rsidRPr="00F23AC5">
        <w:rPr>
          <w:rFonts w:ascii="Arial Narrow" w:hAnsi="Arial Narrow" w:cs="Calibri"/>
          <w:sz w:val="27"/>
          <w:szCs w:val="27"/>
        </w:rPr>
        <w:t xml:space="preserve">de </w:t>
      </w:r>
      <w:r w:rsidRPr="00F23AC5">
        <w:rPr>
          <w:rFonts w:ascii="Arial Narrow" w:hAnsi="Arial Narrow" w:cs="Calibri"/>
          <w:sz w:val="27"/>
          <w:szCs w:val="27"/>
        </w:rPr>
        <w:t xml:space="preserve">ampará-los "mediante efetivação de políticas sociais públicas" (art. 9º, Estatuto do Idoso).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Dessa forma, uma campanha municipal de orientação aos idosos contra fraudes e golpes no comércio eletrônico e na internet, objetivo deste projeto, é uma forma de, a um só tempo, dar concretude a letra da Constituição (art. 230, CR), implementar uma política pública social (arts. 2º, 3º e 9º, Estatuto do Idoso) e também assistir ao público da terceira idade. </w:t>
      </w:r>
    </w:p>
    <w:p w:rsidR="00F66C76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lastRenderedPageBreak/>
        <w:t>Os capítulos ulteriores dedicam-se a demonstrar, inicialmente, o cumprimento das regras de competência e de iniciativa deste projeto de lei, bem como, a detalhar aspectos fáticos e legais que motivaram a iniciativa sob exame</w:t>
      </w:r>
      <w:r w:rsidR="00F4021B" w:rsidRPr="00F23AC5">
        <w:rPr>
          <w:rFonts w:ascii="Arial Narrow" w:hAnsi="Arial Narrow" w:cs="Calibri"/>
          <w:sz w:val="27"/>
          <w:szCs w:val="27"/>
        </w:rPr>
        <w:t>.</w:t>
      </w:r>
    </w:p>
    <w:p w:rsidR="000F55F6" w:rsidRPr="00F23AC5" w:rsidRDefault="000F55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b/>
          <w:sz w:val="27"/>
          <w:szCs w:val="27"/>
        </w:rPr>
      </w:pPr>
    </w:p>
    <w:p w:rsidR="00FE36FE" w:rsidRPr="00F23AC5" w:rsidRDefault="00FE36FE" w:rsidP="007238C3">
      <w:pPr>
        <w:spacing w:after="0" w:line="360" w:lineRule="auto"/>
        <w:ind w:right="-285"/>
        <w:jc w:val="both"/>
        <w:rPr>
          <w:rFonts w:ascii="Arial Narrow" w:hAnsi="Arial Narrow" w:cs="Calibri"/>
          <w:b/>
          <w:sz w:val="27"/>
          <w:szCs w:val="27"/>
        </w:rPr>
      </w:pPr>
      <w:r w:rsidRPr="00F23AC5">
        <w:rPr>
          <w:rFonts w:ascii="Arial Narrow" w:hAnsi="Arial Narrow" w:cs="Calibri"/>
          <w:b/>
          <w:sz w:val="27"/>
          <w:szCs w:val="27"/>
        </w:rPr>
        <w:t xml:space="preserve">DA COMPETÊNCIA E DA INICIATIVA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A Lei Org</w:t>
      </w:r>
      <w:r w:rsidR="00F4021B" w:rsidRPr="00F23AC5">
        <w:rPr>
          <w:rFonts w:ascii="Arial Narrow" w:hAnsi="Arial Narrow" w:cs="Calibri"/>
          <w:sz w:val="27"/>
          <w:szCs w:val="27"/>
        </w:rPr>
        <w:t>ânica do Município</w:t>
      </w:r>
      <w:r w:rsidRPr="00F23AC5">
        <w:rPr>
          <w:rFonts w:ascii="Arial Narrow" w:hAnsi="Arial Narrow" w:cs="Calibri"/>
          <w:sz w:val="27"/>
          <w:szCs w:val="27"/>
        </w:rPr>
        <w:t xml:space="preserve">, observando que a Constituição da República lhe outorgou competência para legislar sobre assuntos locais, bem como, suplementar a legislação federal e estadual no que couber (art. 30, incs. I e II, da CR), especificou que: </w:t>
      </w:r>
    </w:p>
    <w:p w:rsidR="00335298" w:rsidRPr="00F23AC5" w:rsidRDefault="00335298" w:rsidP="007238C3">
      <w:pPr>
        <w:pStyle w:val="PargrafodaLista"/>
        <w:spacing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b/>
          <w:i/>
          <w:sz w:val="27"/>
          <w:szCs w:val="27"/>
        </w:rPr>
        <w:t>Art. 7º</w:t>
      </w:r>
      <w:r w:rsidRPr="00F23AC5">
        <w:rPr>
          <w:rFonts w:ascii="Arial Narrow" w:hAnsi="Arial Narrow" w:cs="Calibri"/>
          <w:i/>
          <w:sz w:val="27"/>
          <w:szCs w:val="27"/>
        </w:rPr>
        <w:t xml:space="preserve"> - Cabe à Câmara, com a sanção do Prefeito, legislar sobre todos os assuntos de interesse local, observadas as determinações e a hierarquia constitucional, suplementar a legislação Federal e a Estadual e fiscalizar, mediante controle externo, a Administração direta ou indireta, as fundações e as empresas em que o Município detenha a maioria do capital social com direito a voto, especialmente: </w:t>
      </w:r>
    </w:p>
    <w:p w:rsidR="002E1ECE" w:rsidRPr="00F23AC5" w:rsidRDefault="002E1ECE" w:rsidP="007238C3">
      <w:pPr>
        <w:pStyle w:val="PargrafodaLista"/>
        <w:spacing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b/>
          <w:i/>
          <w:sz w:val="27"/>
          <w:szCs w:val="27"/>
        </w:rPr>
        <w:t>I -</w:t>
      </w:r>
      <w:r w:rsidRPr="00F23AC5">
        <w:rPr>
          <w:rFonts w:ascii="Arial Narrow" w:hAnsi="Arial Narrow" w:cs="Calibri"/>
          <w:i/>
          <w:sz w:val="27"/>
          <w:szCs w:val="27"/>
        </w:rPr>
        <w:t xml:space="preserve"> legislar sobre assuntos de interesse local, inclusive suplementando a legislação federal e a estadual;</w:t>
      </w:r>
    </w:p>
    <w:p w:rsidR="002E1ECE" w:rsidRPr="00F23AC5" w:rsidRDefault="00335298" w:rsidP="007238C3">
      <w:pPr>
        <w:pStyle w:val="PargrafodaLista"/>
        <w:spacing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b/>
          <w:i/>
          <w:sz w:val="27"/>
          <w:szCs w:val="27"/>
        </w:rPr>
        <w:t>§ ÚNICO</w:t>
      </w:r>
      <w:r w:rsidRPr="00F23AC5">
        <w:rPr>
          <w:rFonts w:ascii="Arial Narrow" w:hAnsi="Arial Narrow" w:cs="Calibri"/>
          <w:i/>
          <w:sz w:val="27"/>
          <w:szCs w:val="27"/>
        </w:rPr>
        <w:t xml:space="preserve"> - Em defesa do bem comum, a Câmara se pronunciará sobre qualquer assunto de interesse público.</w:t>
      </w:r>
    </w:p>
    <w:p w:rsidR="00FE36FE" w:rsidRPr="00F23AC5" w:rsidRDefault="00FE36FE" w:rsidP="00F23AC5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Isso significa, pois, q</w:t>
      </w:r>
      <w:r w:rsidR="002E1ECE" w:rsidRPr="00F23AC5">
        <w:rPr>
          <w:rFonts w:ascii="Arial Narrow" w:hAnsi="Arial Narrow" w:cs="Calibri"/>
          <w:sz w:val="27"/>
          <w:szCs w:val="27"/>
        </w:rPr>
        <w:t>ue o interesse de âmbito local</w:t>
      </w:r>
      <w:r w:rsidRPr="00F23AC5">
        <w:rPr>
          <w:rFonts w:ascii="Arial Narrow" w:hAnsi="Arial Narrow" w:cs="Calibri"/>
          <w:sz w:val="27"/>
          <w:szCs w:val="27"/>
        </w:rPr>
        <w:t xml:space="preserve"> é essencial para fixar a co</w:t>
      </w:r>
      <w:r w:rsidR="00DE4410" w:rsidRPr="00F23AC5">
        <w:rPr>
          <w:rFonts w:ascii="Arial Narrow" w:hAnsi="Arial Narrow" w:cs="Calibri"/>
          <w:sz w:val="27"/>
          <w:szCs w:val="27"/>
        </w:rPr>
        <w:t>mpetência legiferante municipal</w:t>
      </w:r>
      <w:r w:rsidRPr="00F23AC5">
        <w:rPr>
          <w:rFonts w:ascii="Arial Narrow" w:hAnsi="Arial Narrow" w:cs="Calibri"/>
          <w:sz w:val="27"/>
          <w:szCs w:val="27"/>
        </w:rPr>
        <w:t xml:space="preserve">. 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O presente projeto de lei foi pensado para atender as particula</w:t>
      </w:r>
      <w:r w:rsidR="00DE4410" w:rsidRPr="00F23AC5">
        <w:rPr>
          <w:rFonts w:ascii="Arial Narrow" w:hAnsi="Arial Narrow" w:cs="Calibri"/>
          <w:sz w:val="27"/>
          <w:szCs w:val="27"/>
        </w:rPr>
        <w:t>ridades do município de São Sebastião</w:t>
      </w:r>
      <w:r w:rsidRPr="00F23AC5">
        <w:rPr>
          <w:rFonts w:ascii="Arial Narrow" w:hAnsi="Arial Narrow" w:cs="Calibri"/>
          <w:sz w:val="27"/>
          <w:szCs w:val="27"/>
        </w:rPr>
        <w:t>, porquanto direciona</w:t>
      </w:r>
      <w:r w:rsidR="00DE4410" w:rsidRPr="00F23AC5">
        <w:rPr>
          <w:rFonts w:ascii="Arial Narrow" w:hAnsi="Arial Narrow" w:cs="Calibri"/>
          <w:sz w:val="27"/>
          <w:szCs w:val="27"/>
        </w:rPr>
        <w:t>do ao público idoso desta cidade</w:t>
      </w:r>
      <w:r w:rsidRPr="00F23AC5">
        <w:rPr>
          <w:rFonts w:ascii="Arial Narrow" w:hAnsi="Arial Narrow" w:cs="Calibri"/>
          <w:sz w:val="27"/>
          <w:szCs w:val="27"/>
        </w:rPr>
        <w:t xml:space="preserve">, que se encontra em franco crescimento e demanda políticas públicas elaboradas de acordo com as especificidades culturais locais (a fim de facilitar a assimilação das informações) e, ainda, veiculadas ou disponibilizadas nos espaços </w:t>
      </w:r>
      <w:r w:rsidR="00DE4410" w:rsidRPr="00F23AC5">
        <w:rPr>
          <w:rFonts w:ascii="Arial Narrow" w:hAnsi="Arial Narrow" w:cs="Calibri"/>
          <w:sz w:val="27"/>
          <w:szCs w:val="27"/>
        </w:rPr>
        <w:t>freqüentados</w:t>
      </w:r>
      <w:r w:rsidRPr="00F23AC5">
        <w:rPr>
          <w:rFonts w:ascii="Arial Narrow" w:hAnsi="Arial Narrow" w:cs="Calibri"/>
          <w:sz w:val="27"/>
          <w:szCs w:val="27"/>
        </w:rPr>
        <w:t xml:space="preserve"> pelo segment</w:t>
      </w:r>
      <w:r w:rsidR="00DE4410" w:rsidRPr="00F23AC5">
        <w:rPr>
          <w:rFonts w:ascii="Arial Narrow" w:hAnsi="Arial Narrow" w:cs="Calibri"/>
          <w:sz w:val="27"/>
          <w:szCs w:val="27"/>
        </w:rPr>
        <w:t>o da melhor idade, neste Município</w:t>
      </w:r>
      <w:r w:rsidRPr="00F23AC5">
        <w:rPr>
          <w:rFonts w:ascii="Arial Narrow" w:hAnsi="Arial Narrow" w:cs="Calibri"/>
          <w:sz w:val="27"/>
          <w:szCs w:val="27"/>
        </w:rPr>
        <w:t xml:space="preserve">. </w:t>
      </w:r>
    </w:p>
    <w:p w:rsidR="009F05CF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Uma campanha meramente genérica, centralizada, com uma abordagem impessoal, sem considerar as nuances locais, passará despercebida e jamais chegará aos munícipes desta urbe.</w:t>
      </w:r>
    </w:p>
    <w:p w:rsidR="0037579D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lastRenderedPageBreak/>
        <w:t xml:space="preserve"> Note-se, por fim, que o projeto em tela almeja a criação de uma campanha educativa no âmbito </w:t>
      </w:r>
      <w:r w:rsidR="00DE4410" w:rsidRPr="00F23AC5">
        <w:rPr>
          <w:rFonts w:ascii="Arial Narrow" w:hAnsi="Arial Narrow" w:cs="Calibri"/>
          <w:sz w:val="27"/>
          <w:szCs w:val="27"/>
        </w:rPr>
        <w:t>deste Município</w:t>
      </w:r>
      <w:r w:rsidRPr="00F23AC5">
        <w:rPr>
          <w:rFonts w:ascii="Arial Narrow" w:hAnsi="Arial Narrow" w:cs="Calibri"/>
          <w:sz w:val="27"/>
          <w:szCs w:val="27"/>
        </w:rPr>
        <w:t>, sem onerar o erário e nem se imiscuir no funcionamento de entidades da administração pública municipa</w:t>
      </w:r>
      <w:r w:rsidR="0037579D" w:rsidRPr="00F23AC5">
        <w:rPr>
          <w:rFonts w:ascii="Arial Narrow" w:hAnsi="Arial Narrow" w:cs="Calibri"/>
          <w:sz w:val="27"/>
          <w:szCs w:val="27"/>
        </w:rPr>
        <w:t>l.</w:t>
      </w:r>
    </w:p>
    <w:p w:rsidR="00FE36FE" w:rsidRPr="00F23AC5" w:rsidRDefault="00FE36F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A presente proposição, portanto, trata de matéria pertinente à competência legislativa do Município e às atribuições normativas desta Câmara de Vereadores. Não havendo reserva de iniciativa sobre o tema, revela-se legítima apresentá-la.</w:t>
      </w:r>
    </w:p>
    <w:p w:rsidR="002E1ECE" w:rsidRPr="00F23AC5" w:rsidRDefault="002E1ECE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</w:p>
    <w:p w:rsidR="00524DF6" w:rsidRPr="00F23AC5" w:rsidRDefault="00FE21C3" w:rsidP="007238C3">
      <w:pPr>
        <w:spacing w:line="360" w:lineRule="auto"/>
        <w:ind w:right="-285"/>
        <w:rPr>
          <w:rFonts w:ascii="Arial Narrow" w:hAnsi="Arial Narrow" w:cs="Calibri"/>
          <w:b/>
          <w:sz w:val="27"/>
          <w:szCs w:val="27"/>
        </w:rPr>
      </w:pPr>
      <w:r w:rsidRPr="00F23AC5">
        <w:rPr>
          <w:rFonts w:ascii="Arial Narrow" w:hAnsi="Arial Narrow" w:cs="Calibri"/>
          <w:b/>
          <w:sz w:val="27"/>
          <w:szCs w:val="27"/>
        </w:rPr>
        <w:t xml:space="preserve">DA VULNERABILIDADE </w:t>
      </w:r>
      <w:r w:rsidR="00C93AEC" w:rsidRPr="00F23AC5">
        <w:rPr>
          <w:rFonts w:ascii="Arial Narrow" w:hAnsi="Arial Narrow" w:cs="Calibri"/>
          <w:b/>
          <w:sz w:val="27"/>
          <w:szCs w:val="27"/>
        </w:rPr>
        <w:t xml:space="preserve">DO PÚBLICO SENESCENTE </w:t>
      </w:r>
    </w:p>
    <w:p w:rsidR="00524DF6" w:rsidRPr="00F23AC5" w:rsidRDefault="00C93AEC" w:rsidP="007238C3">
      <w:pPr>
        <w:spacing w:after="0" w:line="360" w:lineRule="auto"/>
        <w:ind w:right="-285" w:firstLine="708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Os muitos que vencerão a barreira dos 6</w:t>
      </w:r>
      <w:r w:rsidR="0037579D" w:rsidRPr="00F23AC5">
        <w:rPr>
          <w:rFonts w:ascii="Arial Narrow" w:hAnsi="Arial Narrow" w:cs="Calibri"/>
          <w:sz w:val="27"/>
          <w:szCs w:val="27"/>
        </w:rPr>
        <w:t>0 (sessenta) anos, neste município</w:t>
      </w:r>
      <w:r w:rsidRPr="00F23AC5">
        <w:rPr>
          <w:rFonts w:ascii="Arial Narrow" w:hAnsi="Arial Narrow" w:cs="Calibri"/>
          <w:sz w:val="27"/>
          <w:szCs w:val="27"/>
        </w:rPr>
        <w:t xml:space="preserve"> e mundo afora, passarão a fruir das denomin</w:t>
      </w:r>
      <w:r w:rsidR="0037579D" w:rsidRPr="00F23AC5">
        <w:rPr>
          <w:rFonts w:ascii="Arial Narrow" w:hAnsi="Arial Narrow" w:cs="Calibri"/>
          <w:sz w:val="27"/>
          <w:szCs w:val="27"/>
        </w:rPr>
        <w:t>adas qualidades anciãs, a saber:</w:t>
      </w:r>
      <w:r w:rsidRPr="00F23AC5">
        <w:rPr>
          <w:rFonts w:ascii="Arial Narrow" w:hAnsi="Arial Narrow" w:cs="Calibri"/>
          <w:sz w:val="27"/>
          <w:szCs w:val="27"/>
        </w:rPr>
        <w:t xml:space="preserve"> acúmulo de experiência, sabedoria, ponderação e muitos outros. </w:t>
      </w:r>
    </w:p>
    <w:p w:rsidR="00FE21C3" w:rsidRPr="00F23AC5" w:rsidRDefault="00C93AEC" w:rsidP="007238C3">
      <w:pPr>
        <w:spacing w:after="0" w:line="360" w:lineRule="auto"/>
        <w:ind w:right="-285" w:firstLine="708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A vida, entretanto, não é feita só de bônus, mas também e</w:t>
      </w:r>
      <w:r w:rsidR="00FE21C3" w:rsidRPr="00F23AC5">
        <w:rPr>
          <w:rFonts w:ascii="Arial Narrow" w:hAnsi="Arial Narrow" w:cs="Calibri"/>
          <w:sz w:val="27"/>
          <w:szCs w:val="27"/>
        </w:rPr>
        <w:t>, sobretudo</w:t>
      </w:r>
      <w:r w:rsidR="000F55F6" w:rsidRPr="00F23AC5">
        <w:rPr>
          <w:rFonts w:ascii="Arial Narrow" w:hAnsi="Arial Narrow" w:cs="Calibri"/>
          <w:sz w:val="27"/>
          <w:szCs w:val="27"/>
        </w:rPr>
        <w:t xml:space="preserve"> de ônus.</w:t>
      </w:r>
    </w:p>
    <w:p w:rsidR="0037579D" w:rsidRPr="00F23AC5" w:rsidRDefault="00C93AEC" w:rsidP="007238C3">
      <w:pPr>
        <w:spacing w:after="0" w:line="360" w:lineRule="auto"/>
        <w:ind w:right="-285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A senescência os impõe e eles não são poucos. </w:t>
      </w:r>
    </w:p>
    <w:p w:rsidR="00524DF6" w:rsidRPr="00F23AC5" w:rsidRDefault="00C93AEC" w:rsidP="007238C3">
      <w:pPr>
        <w:spacing w:after="0" w:line="360" w:lineRule="auto"/>
        <w:ind w:right="-285" w:firstLine="708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Para explicá-los, cita-se estudo publicado na Revista Brasileira de Enfermagem, do qual se extrai o seguinte:</w:t>
      </w:r>
    </w:p>
    <w:p w:rsidR="000F55F6" w:rsidRPr="00F23AC5" w:rsidRDefault="00C93AEC" w:rsidP="007238C3">
      <w:pPr>
        <w:pStyle w:val="PargrafodaLista"/>
        <w:spacing w:after="0"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i/>
          <w:sz w:val="27"/>
          <w:szCs w:val="27"/>
        </w:rPr>
        <w:t xml:space="preserve"> "À medida que a população envelhece, surge a necessidade de melhor compreender esse processo, visto que com o avançar da idade, os indivíduos podem apresentar diferentes tipos de agravos, podendo levá-los ao acúmulo de doenças,</w:t>
      </w:r>
      <w:r w:rsidR="00524DF6" w:rsidRPr="00F23AC5">
        <w:rPr>
          <w:rFonts w:ascii="Arial Narrow" w:hAnsi="Arial Narrow" w:cs="Calibri"/>
          <w:i/>
          <w:sz w:val="27"/>
          <w:szCs w:val="27"/>
        </w:rPr>
        <w:t xml:space="preserve"> </w:t>
      </w:r>
      <w:r w:rsidRPr="00F23AC5">
        <w:rPr>
          <w:rFonts w:ascii="Arial Narrow" w:hAnsi="Arial Narrow" w:cs="Calibri"/>
          <w:i/>
          <w:sz w:val="27"/>
          <w:szCs w:val="27"/>
        </w:rPr>
        <w:t>aumento da vulnerabilidade, episódios recorrentes de quedas, hospitalizações prolongadas e o dese</w:t>
      </w:r>
      <w:r w:rsidR="0037579D" w:rsidRPr="00F23AC5">
        <w:rPr>
          <w:rFonts w:ascii="Arial Narrow" w:hAnsi="Arial Narrow" w:cs="Calibri"/>
          <w:i/>
          <w:sz w:val="27"/>
          <w:szCs w:val="27"/>
        </w:rPr>
        <w:t xml:space="preserve">nvolvimento de incapacidades." </w:t>
      </w:r>
      <w:r w:rsidRPr="00F23AC5">
        <w:rPr>
          <w:rFonts w:ascii="Arial Narrow" w:hAnsi="Arial Narrow" w:cs="Calibri"/>
          <w:i/>
          <w:sz w:val="27"/>
          <w:szCs w:val="27"/>
        </w:rPr>
        <w:t xml:space="preserve"> </w:t>
      </w:r>
    </w:p>
    <w:p w:rsidR="00524DF6" w:rsidRPr="00F23AC5" w:rsidRDefault="00C93AEC" w:rsidP="007238C3">
      <w:pPr>
        <w:spacing w:after="0" w:line="360" w:lineRule="auto"/>
        <w:ind w:right="-285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O mesmo material explica que: </w:t>
      </w:r>
    </w:p>
    <w:p w:rsidR="00823A27" w:rsidRPr="00F23AC5" w:rsidRDefault="00C93AEC" w:rsidP="007238C3">
      <w:pPr>
        <w:pStyle w:val="PargrafodaLista"/>
        <w:spacing w:after="0"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i/>
          <w:sz w:val="27"/>
          <w:szCs w:val="27"/>
        </w:rPr>
        <w:t xml:space="preserve">"(•...) as pessoas envelhecem e se tornam mais vulneráveis, suas circunstâncias sociais afetam particularmente sua saúde, necessitando de maior apoio afetivo através de contatos sociais e familiares frequentes. Observa-se também a possibilidade de perdas sociais, habilidades físicas e mentais, caracterizado pela diminuição do interesse e empatia pelo </w:t>
      </w:r>
      <w:r w:rsidR="0037579D" w:rsidRPr="00F23AC5">
        <w:rPr>
          <w:rFonts w:ascii="Arial Narrow" w:hAnsi="Arial Narrow" w:cs="Calibri"/>
          <w:i/>
          <w:sz w:val="27"/>
          <w:szCs w:val="27"/>
        </w:rPr>
        <w:t xml:space="preserve">mundo ou por outras pessoas." </w:t>
      </w:r>
    </w:p>
    <w:p w:rsidR="000F55F6" w:rsidRPr="00F23AC5" w:rsidRDefault="000F55F6" w:rsidP="007238C3">
      <w:pPr>
        <w:pStyle w:val="PargrafodaLista"/>
        <w:spacing w:after="0" w:line="360" w:lineRule="auto"/>
        <w:ind w:right="-285"/>
        <w:rPr>
          <w:rFonts w:ascii="Arial Narrow" w:hAnsi="Arial Narrow" w:cs="Calibri"/>
          <w:i/>
          <w:sz w:val="27"/>
          <w:szCs w:val="27"/>
        </w:rPr>
      </w:pP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lastRenderedPageBreak/>
        <w:t xml:space="preserve">O decurso do tempo, como visto, acaba por infligir declínio físico à pessoa humana, o que a expõe às adversidades da vida, não apenas as de saúde ou as físicas (dificuldades de locomoção, por exemplo), mas especialmente as de cunho social. 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Entenda-se por adversidades de cunho social, neste contexto, aquelas em que terceiros de má-fé, aproveitando-se da natural vulnerabilidade dos idosos, os assediam para ludibriá-los, aplicar-lhes golpes ou simplesmente enganá-los. 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Porque mais frágil e vulnerável - como brevemente demonstrado aqui, mas sobretudo porquanto far-se-á cada vez mais presente, o público dos maiores de 60 anos merece perceber especial guarida de políticas públicas destinadas a lhes assegurar bem-estar e segurança.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b/>
          <w:sz w:val="27"/>
          <w:szCs w:val="27"/>
        </w:rPr>
      </w:pPr>
      <w:r w:rsidRPr="00F23AC5">
        <w:rPr>
          <w:rFonts w:ascii="Arial Narrow" w:hAnsi="Arial Narrow" w:cs="Calibri"/>
          <w:b/>
          <w:sz w:val="27"/>
          <w:szCs w:val="27"/>
        </w:rPr>
        <w:t xml:space="preserve">DA PROTEÇÃO CONSTITUCIONAL E LEGAL AOS IDOSOS 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A Constituição </w:t>
      </w:r>
      <w:r w:rsidR="00FE21C3" w:rsidRPr="00F23AC5">
        <w:rPr>
          <w:rFonts w:ascii="Arial Narrow" w:hAnsi="Arial Narrow" w:cs="Calibri"/>
          <w:sz w:val="27"/>
          <w:szCs w:val="27"/>
        </w:rPr>
        <w:t>da República, por meio do A</w:t>
      </w:r>
      <w:r w:rsidRPr="00F23AC5">
        <w:rPr>
          <w:rFonts w:ascii="Arial Narrow" w:hAnsi="Arial Narrow" w:cs="Calibri"/>
          <w:sz w:val="27"/>
          <w:szCs w:val="27"/>
        </w:rPr>
        <w:t>rtigo 230, outorgou aos idosos especial proteção, ao determinar que "A família, a sociedade e o Estado têm o dever de amparar as pessoas idosas, assegurando sua participação na comunidade, defendendo sua dignidade e bem-estar e garantindo-lhes o direito à vida.</w:t>
      </w:r>
      <w:r w:rsidR="00E01841" w:rsidRPr="00F23AC5">
        <w:rPr>
          <w:rFonts w:ascii="Arial Narrow" w:hAnsi="Arial Narrow" w:cs="Calibri"/>
          <w:sz w:val="27"/>
          <w:szCs w:val="27"/>
        </w:rPr>
        <w:t>”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 André Ramos Tavares, Livre-Docente em Direito Constitucional pela Faculdade de Direito da USP, ensina que:</w:t>
      </w:r>
    </w:p>
    <w:p w:rsidR="00524DF6" w:rsidRPr="00F23AC5" w:rsidRDefault="00524DF6" w:rsidP="007238C3">
      <w:pPr>
        <w:pStyle w:val="PargrafodaLista"/>
        <w:spacing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i/>
          <w:sz w:val="27"/>
          <w:szCs w:val="27"/>
        </w:rPr>
        <w:t xml:space="preserve"> "(...•) o direito à velhice é uma decorrência da própria dignidade da pessoa humana, levada a tutela da vida até o último dia de existência do ser humano. O direito à velhice, pois, é uma dimensão importantíssima do primado da</w:t>
      </w:r>
      <w:r w:rsidR="00E01841" w:rsidRPr="00F23AC5">
        <w:rPr>
          <w:rFonts w:ascii="Arial Narrow" w:hAnsi="Arial Narrow" w:cs="Calibri"/>
          <w:i/>
          <w:sz w:val="27"/>
          <w:szCs w:val="27"/>
        </w:rPr>
        <w:t xml:space="preserve"> dignidade da pessoa humana." </w:t>
      </w:r>
    </w:p>
    <w:p w:rsidR="00524DF6" w:rsidRPr="00F23AC5" w:rsidRDefault="00524DF6" w:rsidP="007238C3">
      <w:pPr>
        <w:spacing w:after="0" w:line="360" w:lineRule="auto"/>
        <w:ind w:right="-285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 xml:space="preserve">A fim de conferir balizas seguras aos direitos dos idosos e assegurá-los, sobreveio a Lei Federal nº 10.741/2003 (Estatuto do Idoso), segundo a qual: </w:t>
      </w:r>
    </w:p>
    <w:p w:rsidR="00524DF6" w:rsidRPr="00F23AC5" w:rsidRDefault="00524DF6" w:rsidP="007238C3">
      <w:pPr>
        <w:pStyle w:val="PargrafodaLista"/>
        <w:spacing w:line="360" w:lineRule="auto"/>
        <w:ind w:right="-285"/>
        <w:rPr>
          <w:rFonts w:ascii="Arial Narrow" w:hAnsi="Arial Narrow" w:cs="Calibri"/>
          <w:i/>
          <w:sz w:val="27"/>
          <w:szCs w:val="27"/>
        </w:rPr>
      </w:pPr>
      <w:r w:rsidRPr="00F23AC5">
        <w:rPr>
          <w:rFonts w:ascii="Arial Narrow" w:hAnsi="Arial Narrow" w:cs="Calibri"/>
          <w:i/>
          <w:sz w:val="27"/>
          <w:szCs w:val="27"/>
        </w:rPr>
        <w:t xml:space="preserve">"Art. 2. O idoso goza de todos os direitos fundamentais inerentes à pessoa humana, sem prejuízo da proteção integral de que trata esta Lei, assegurando-se-lhe, por lei ou por outros meios, todas as oportunidades e facilidades, para preservação de sua saúde </w:t>
      </w:r>
      <w:r w:rsidRPr="00F23AC5">
        <w:rPr>
          <w:rFonts w:ascii="Arial Narrow" w:hAnsi="Arial Narrow" w:cs="Calibri"/>
          <w:i/>
          <w:sz w:val="27"/>
          <w:szCs w:val="27"/>
        </w:rPr>
        <w:lastRenderedPageBreak/>
        <w:t>física e mental e seu aperfeiçoamento moral, intelectual, espiritual e social, em condições de liberdade e dignidade.</w:t>
      </w:r>
      <w:r w:rsidR="00E01841" w:rsidRPr="00F23AC5">
        <w:rPr>
          <w:rFonts w:ascii="Arial Narrow" w:hAnsi="Arial Narrow" w:cs="Calibri"/>
          <w:i/>
          <w:sz w:val="27"/>
          <w:szCs w:val="27"/>
        </w:rPr>
        <w:t>”</w:t>
      </w:r>
    </w:p>
    <w:p w:rsidR="00524DF6" w:rsidRPr="00F23AC5" w:rsidRDefault="00E01841" w:rsidP="007238C3">
      <w:pPr>
        <w:spacing w:after="0" w:line="360" w:lineRule="auto"/>
        <w:ind w:right="-285" w:firstLine="708"/>
        <w:jc w:val="both"/>
        <w:rPr>
          <w:rFonts w:ascii="Arial Narrow" w:hAnsi="Arial Narrow" w:cs="Calibri"/>
          <w:sz w:val="27"/>
          <w:szCs w:val="27"/>
        </w:rPr>
      </w:pPr>
      <w:r w:rsidRPr="00F23AC5">
        <w:rPr>
          <w:rFonts w:ascii="Arial Narrow" w:hAnsi="Arial Narrow" w:cs="Calibri"/>
          <w:sz w:val="27"/>
          <w:szCs w:val="27"/>
        </w:rPr>
        <w:t>"</w:t>
      </w:r>
      <w:r w:rsidR="00524DF6" w:rsidRPr="00F23AC5">
        <w:rPr>
          <w:rFonts w:ascii="Arial Narrow" w:hAnsi="Arial Narrow" w:cs="Calibri"/>
          <w:sz w:val="27"/>
          <w:szCs w:val="27"/>
        </w:rPr>
        <w:t>O mesmo diploma legal, na esteira do que dispõe o parágrafo 1º, artigo 230, da Constituição da República, preceitua que "É obrigação do Estado, garantir à pessoa idosa a proteção à vida e à saúde, mediante efetivação de políticas sociais públicas que permitam um envelhecimento saudável e em condições de dignidade." (art. 9º)</w:t>
      </w:r>
    </w:p>
    <w:p w:rsidR="00524DF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eastAsia="Times New Roman" w:hAnsi="Arial Narrow" w:cs="Calibri"/>
          <w:sz w:val="27"/>
          <w:szCs w:val="27"/>
          <w:lang w:eastAsia="pt-BR"/>
        </w:rPr>
      </w:pPr>
      <w:r w:rsidRPr="00F23AC5">
        <w:rPr>
          <w:rFonts w:ascii="Arial Narrow" w:hAnsi="Arial Narrow" w:cs="Calibri"/>
          <w:sz w:val="27"/>
          <w:szCs w:val="27"/>
        </w:rPr>
        <w:t>Vê-se, portanto, que a Constituição da República e o Estatuto do Idoso veiculam instrumentos de defesa do indivíduo senescente, mas que exigem de complementação, por parte do Estado, mediante efetivação de políticas sociais públicas - como uma ampla campanha municipal de conscientização sobre tema sensível aos maiores de 60 anos, a exemplo da que se propõe através do presente projeto de lei.</w:t>
      </w:r>
    </w:p>
    <w:p w:rsidR="0037579D" w:rsidRPr="00F23AC5" w:rsidRDefault="0037579D" w:rsidP="007238C3">
      <w:pPr>
        <w:spacing w:after="0" w:line="360" w:lineRule="auto"/>
        <w:ind w:right="-285"/>
        <w:jc w:val="both"/>
        <w:rPr>
          <w:rFonts w:ascii="Arial Narrow" w:hAnsi="Arial Narrow" w:cs="Calibri"/>
          <w:sz w:val="27"/>
          <w:szCs w:val="27"/>
        </w:rPr>
      </w:pPr>
    </w:p>
    <w:p w:rsidR="00524DF6" w:rsidRPr="00F23AC5" w:rsidRDefault="00524DF6" w:rsidP="007238C3">
      <w:pPr>
        <w:spacing w:after="0" w:line="360" w:lineRule="auto"/>
        <w:ind w:right="-285"/>
        <w:jc w:val="both"/>
        <w:rPr>
          <w:rFonts w:ascii="Arial Narrow" w:hAnsi="Arial Narrow" w:cs="Calibri"/>
          <w:b/>
          <w:sz w:val="27"/>
          <w:szCs w:val="27"/>
        </w:rPr>
      </w:pPr>
      <w:r w:rsidRPr="00F23AC5">
        <w:rPr>
          <w:rFonts w:ascii="Arial Narrow" w:hAnsi="Arial Narrow" w:cs="Calibri"/>
          <w:b/>
          <w:sz w:val="27"/>
          <w:szCs w:val="27"/>
        </w:rPr>
        <w:t xml:space="preserve">DA CONCLUSÃO </w:t>
      </w:r>
    </w:p>
    <w:p w:rsidR="00F66C76" w:rsidRPr="00F23AC5" w:rsidRDefault="00524DF6" w:rsidP="007238C3">
      <w:pPr>
        <w:spacing w:after="0" w:line="360" w:lineRule="auto"/>
        <w:ind w:right="-285" w:firstLine="708"/>
        <w:jc w:val="both"/>
        <w:rPr>
          <w:rFonts w:ascii="Arial Narrow" w:eastAsia="Times New Roman" w:hAnsi="Arial Narrow" w:cs="Calibri"/>
          <w:sz w:val="27"/>
          <w:szCs w:val="27"/>
          <w:lang w:eastAsia="pt-BR"/>
        </w:rPr>
      </w:pPr>
      <w:r w:rsidRPr="00F23AC5">
        <w:rPr>
          <w:rFonts w:ascii="Arial Narrow" w:hAnsi="Arial Narrow" w:cs="Calibri"/>
          <w:sz w:val="27"/>
          <w:szCs w:val="27"/>
        </w:rPr>
        <w:t>Feitas essas considerações, roga-se o imprescindível apoio dos eminentes pares para a aprovação deste projeto de lei.</w:t>
      </w:r>
    </w:p>
    <w:p w:rsidR="00F66C76" w:rsidRPr="00F23AC5" w:rsidRDefault="00F66C76" w:rsidP="007238C3">
      <w:pPr>
        <w:spacing w:after="0" w:line="360" w:lineRule="auto"/>
        <w:ind w:right="-285"/>
        <w:jc w:val="both"/>
        <w:rPr>
          <w:rFonts w:ascii="Arial Narrow" w:eastAsia="Times New Roman" w:hAnsi="Arial Narrow" w:cs="Calibri"/>
          <w:sz w:val="27"/>
          <w:szCs w:val="27"/>
          <w:lang w:eastAsia="pt-BR"/>
        </w:rPr>
      </w:pPr>
    </w:p>
    <w:p w:rsidR="00F66C76" w:rsidRPr="00F23AC5" w:rsidRDefault="00F66C76" w:rsidP="007238C3">
      <w:pPr>
        <w:spacing w:line="360" w:lineRule="auto"/>
        <w:ind w:right="-285"/>
        <w:jc w:val="center"/>
        <w:rPr>
          <w:rFonts w:ascii="Arial Narrow" w:eastAsia="Times New Roman" w:hAnsi="Arial Narrow" w:cs="Calibri"/>
          <w:sz w:val="27"/>
          <w:szCs w:val="27"/>
          <w:lang w:eastAsia="pt-BR"/>
        </w:rPr>
      </w:pPr>
      <w:r w:rsidRPr="00F23AC5">
        <w:rPr>
          <w:rFonts w:ascii="Arial Narrow" w:eastAsia="Times New Roman" w:hAnsi="Arial Narrow" w:cs="Calibri"/>
          <w:sz w:val="27"/>
          <w:szCs w:val="27"/>
          <w:lang w:eastAsia="pt-BR"/>
        </w:rPr>
        <w:t xml:space="preserve">Plenário da Câmara Municipal de São Sebastião, Sala Vereador Zino Militão dos Santos, </w:t>
      </w:r>
      <w:r w:rsidR="00F23AC5" w:rsidRPr="00F23AC5">
        <w:rPr>
          <w:rFonts w:ascii="Arial Narrow" w:eastAsia="Times New Roman" w:hAnsi="Arial Narrow" w:cs="Calibri"/>
          <w:sz w:val="27"/>
          <w:szCs w:val="27"/>
          <w:lang w:eastAsia="pt-BR"/>
        </w:rPr>
        <w:t>20</w:t>
      </w:r>
      <w:r w:rsidR="00E01841" w:rsidRPr="00F23AC5">
        <w:rPr>
          <w:rFonts w:ascii="Arial Narrow" w:eastAsia="Times New Roman" w:hAnsi="Arial Narrow" w:cs="Calibri"/>
          <w:sz w:val="27"/>
          <w:szCs w:val="27"/>
          <w:lang w:eastAsia="pt-BR"/>
        </w:rPr>
        <w:t xml:space="preserve"> de Abril</w:t>
      </w:r>
      <w:r w:rsidRPr="00F23AC5">
        <w:rPr>
          <w:rFonts w:ascii="Arial Narrow" w:eastAsia="Times New Roman" w:hAnsi="Arial Narrow" w:cs="Calibri"/>
          <w:sz w:val="27"/>
          <w:szCs w:val="27"/>
          <w:lang w:eastAsia="pt-BR"/>
        </w:rPr>
        <w:t xml:space="preserve"> de 2021.</w:t>
      </w:r>
    </w:p>
    <w:p w:rsidR="00F66C76" w:rsidRPr="00F23AC5" w:rsidRDefault="00F66C76" w:rsidP="007238C3">
      <w:pPr>
        <w:spacing w:after="0" w:line="360" w:lineRule="auto"/>
        <w:ind w:right="-285"/>
        <w:jc w:val="both"/>
        <w:rPr>
          <w:rFonts w:ascii="Arial Narrow" w:hAnsi="Arial Narrow" w:cs="Calibri"/>
          <w:sz w:val="27"/>
          <w:szCs w:val="27"/>
        </w:rPr>
      </w:pPr>
    </w:p>
    <w:p w:rsidR="000D695A" w:rsidRPr="00F23AC5" w:rsidRDefault="000D695A" w:rsidP="007238C3">
      <w:pPr>
        <w:spacing w:line="360" w:lineRule="auto"/>
        <w:ind w:right="-285"/>
        <w:jc w:val="center"/>
        <w:rPr>
          <w:rFonts w:ascii="Arial Narrow" w:eastAsia="Times New Roman" w:hAnsi="Arial Narrow" w:cs="Calibri"/>
          <w:sz w:val="27"/>
          <w:szCs w:val="27"/>
          <w:lang w:eastAsia="pt-BR"/>
        </w:rPr>
      </w:pPr>
    </w:p>
    <w:p w:rsidR="000D695A" w:rsidRPr="00F23AC5" w:rsidRDefault="000D695A" w:rsidP="007238C3">
      <w:pPr>
        <w:spacing w:after="0" w:line="360" w:lineRule="auto"/>
        <w:ind w:right="-285"/>
        <w:jc w:val="center"/>
        <w:rPr>
          <w:rFonts w:ascii="Arial Narrow" w:eastAsia="Times New Roman" w:hAnsi="Arial Narrow" w:cs="Calibri"/>
          <w:b/>
          <w:sz w:val="27"/>
          <w:szCs w:val="27"/>
          <w:lang w:eastAsia="pt-BR"/>
        </w:rPr>
      </w:pPr>
      <w:r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Felipe Amadeu Cardim de Souza</w:t>
      </w:r>
    </w:p>
    <w:p w:rsidR="000D695A" w:rsidRPr="00F23AC5" w:rsidRDefault="00F23AC5" w:rsidP="007238C3">
      <w:pPr>
        <w:spacing w:after="0" w:line="360" w:lineRule="auto"/>
        <w:ind w:right="-285"/>
        <w:jc w:val="center"/>
        <w:rPr>
          <w:rFonts w:ascii="Arial Narrow" w:eastAsia="Times New Roman" w:hAnsi="Arial Narrow" w:cs="Calibri"/>
          <w:b/>
          <w:sz w:val="27"/>
          <w:szCs w:val="27"/>
          <w:lang w:eastAsia="pt-BR"/>
        </w:rPr>
      </w:pPr>
      <w:r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“</w:t>
      </w:r>
      <w:r w:rsidR="000D695A"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Felipe Cardim</w:t>
      </w:r>
      <w:r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”</w:t>
      </w:r>
    </w:p>
    <w:p w:rsidR="000D695A" w:rsidRPr="00F23AC5" w:rsidRDefault="000D695A" w:rsidP="007238C3">
      <w:pPr>
        <w:spacing w:after="0" w:line="360" w:lineRule="auto"/>
        <w:ind w:right="-285"/>
        <w:jc w:val="center"/>
        <w:rPr>
          <w:rFonts w:ascii="Arial Narrow" w:eastAsia="Times New Roman" w:hAnsi="Arial Narrow" w:cs="Calibri"/>
          <w:b/>
          <w:sz w:val="27"/>
          <w:szCs w:val="27"/>
          <w:lang w:eastAsia="pt-BR"/>
        </w:rPr>
      </w:pPr>
      <w:r w:rsidRPr="00F23AC5">
        <w:rPr>
          <w:rFonts w:ascii="Arial Narrow" w:eastAsia="Times New Roman" w:hAnsi="Arial Narrow" w:cs="Calibri"/>
          <w:b/>
          <w:sz w:val="27"/>
          <w:szCs w:val="27"/>
          <w:lang w:eastAsia="pt-BR"/>
        </w:rPr>
        <w:t>Vereador</w:t>
      </w:r>
    </w:p>
    <w:p w:rsidR="00CC42C2" w:rsidRPr="00F23AC5" w:rsidRDefault="00CC42C2" w:rsidP="007238C3">
      <w:pPr>
        <w:spacing w:line="360" w:lineRule="auto"/>
        <w:ind w:right="-285"/>
        <w:rPr>
          <w:rFonts w:ascii="Arial Narrow" w:hAnsi="Arial Narrow" w:cs="Calibri"/>
          <w:sz w:val="27"/>
          <w:szCs w:val="27"/>
        </w:rPr>
      </w:pPr>
    </w:p>
    <w:sectPr w:rsidR="00CC42C2" w:rsidRPr="00F23AC5" w:rsidSect="0082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00" w:rsidRDefault="005E2700" w:rsidP="00AE17D9">
      <w:pPr>
        <w:spacing w:after="0" w:line="240" w:lineRule="auto"/>
      </w:pPr>
      <w:r>
        <w:separator/>
      </w:r>
    </w:p>
  </w:endnote>
  <w:endnote w:type="continuationSeparator" w:id="1">
    <w:p w:rsidR="005E2700" w:rsidRDefault="005E270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00" w:rsidRDefault="005E2700" w:rsidP="00AE17D9">
      <w:pPr>
        <w:spacing w:after="0" w:line="240" w:lineRule="auto"/>
      </w:pPr>
      <w:r>
        <w:separator/>
      </w:r>
    </w:p>
  </w:footnote>
  <w:footnote w:type="continuationSeparator" w:id="1">
    <w:p w:rsidR="005E2700" w:rsidRDefault="005E270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Tr="000F55F6">
      <w:tc>
        <w:tcPr>
          <w:tcW w:w="1668" w:type="dxa"/>
        </w:tcPr>
        <w:p w:rsidR="00AE17D9" w:rsidRDefault="007238C3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0F55F6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0F55F6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0F55F6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0F55F6" w:rsidRDefault="00AE17D9" w:rsidP="000F55F6">
          <w:pPr>
            <w:pStyle w:val="Cabealho"/>
            <w:jc w:val="center"/>
            <w:rPr>
              <w:rFonts w:ascii="Arial" w:hAnsi="Arial" w:cs="Arial"/>
              <w:i/>
            </w:rPr>
          </w:pPr>
          <w:r w:rsidRPr="000F55F6">
            <w:rPr>
              <w:rFonts w:ascii="Arial" w:hAnsi="Arial" w:cs="Arial"/>
              <w:i/>
            </w:rPr>
            <w:t>Litoral Norte – São Paulo</w:t>
          </w:r>
        </w:p>
        <w:p w:rsidR="00AE17D9" w:rsidRPr="000F55F6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D695A"/>
    <w:rsid w:val="000E1C93"/>
    <w:rsid w:val="000E54C9"/>
    <w:rsid w:val="000F1B5C"/>
    <w:rsid w:val="000F55F6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047F"/>
    <w:rsid w:val="001C4F19"/>
    <w:rsid w:val="001D13F7"/>
    <w:rsid w:val="001D6FD9"/>
    <w:rsid w:val="001E1957"/>
    <w:rsid w:val="001F1230"/>
    <w:rsid w:val="001F22AF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1ECE"/>
    <w:rsid w:val="002E62BF"/>
    <w:rsid w:val="002E63B4"/>
    <w:rsid w:val="002E7FDF"/>
    <w:rsid w:val="002F505C"/>
    <w:rsid w:val="002F7974"/>
    <w:rsid w:val="00304F0A"/>
    <w:rsid w:val="00307388"/>
    <w:rsid w:val="00307870"/>
    <w:rsid w:val="003143DD"/>
    <w:rsid w:val="003219ED"/>
    <w:rsid w:val="003307F8"/>
    <w:rsid w:val="00331287"/>
    <w:rsid w:val="00331949"/>
    <w:rsid w:val="00335298"/>
    <w:rsid w:val="00340899"/>
    <w:rsid w:val="003675EE"/>
    <w:rsid w:val="0037579D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4D7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24DF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E2700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0994"/>
    <w:rsid w:val="006A1719"/>
    <w:rsid w:val="006B03D7"/>
    <w:rsid w:val="006B20F0"/>
    <w:rsid w:val="006B2E08"/>
    <w:rsid w:val="006D3165"/>
    <w:rsid w:val="006D4E57"/>
    <w:rsid w:val="00705282"/>
    <w:rsid w:val="00722D53"/>
    <w:rsid w:val="007238C3"/>
    <w:rsid w:val="00734C9B"/>
    <w:rsid w:val="007423B7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23A27"/>
    <w:rsid w:val="008301CC"/>
    <w:rsid w:val="00855A18"/>
    <w:rsid w:val="00860095"/>
    <w:rsid w:val="0086196C"/>
    <w:rsid w:val="00874B09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8F05F5"/>
    <w:rsid w:val="00905F59"/>
    <w:rsid w:val="0092102A"/>
    <w:rsid w:val="00922737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05CF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0E08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5802"/>
    <w:rsid w:val="00B66F92"/>
    <w:rsid w:val="00B73272"/>
    <w:rsid w:val="00B76103"/>
    <w:rsid w:val="00B91953"/>
    <w:rsid w:val="00B927F6"/>
    <w:rsid w:val="00B934C2"/>
    <w:rsid w:val="00BA38EE"/>
    <w:rsid w:val="00BB228E"/>
    <w:rsid w:val="00BD4F3F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372F0"/>
    <w:rsid w:val="00C46F83"/>
    <w:rsid w:val="00C64728"/>
    <w:rsid w:val="00C72AAE"/>
    <w:rsid w:val="00C73C0B"/>
    <w:rsid w:val="00C74C36"/>
    <w:rsid w:val="00C80C7D"/>
    <w:rsid w:val="00C92B19"/>
    <w:rsid w:val="00C93AEC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4410"/>
    <w:rsid w:val="00DE6197"/>
    <w:rsid w:val="00DE6499"/>
    <w:rsid w:val="00E0128E"/>
    <w:rsid w:val="00E01841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3AC5"/>
    <w:rsid w:val="00F2413A"/>
    <w:rsid w:val="00F26529"/>
    <w:rsid w:val="00F34442"/>
    <w:rsid w:val="00F356CC"/>
    <w:rsid w:val="00F4021B"/>
    <w:rsid w:val="00F408F1"/>
    <w:rsid w:val="00F45D14"/>
    <w:rsid w:val="00F47255"/>
    <w:rsid w:val="00F601C7"/>
    <w:rsid w:val="00F617F7"/>
    <w:rsid w:val="00F66C76"/>
    <w:rsid w:val="00F83A1F"/>
    <w:rsid w:val="00F93746"/>
    <w:rsid w:val="00FA4A5E"/>
    <w:rsid w:val="00FB3B8F"/>
    <w:rsid w:val="00FB43F7"/>
    <w:rsid w:val="00FC2103"/>
    <w:rsid w:val="00FC5C26"/>
    <w:rsid w:val="00FD260E"/>
    <w:rsid w:val="00FE21C3"/>
    <w:rsid w:val="00FE36FE"/>
    <w:rsid w:val="00F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="Times New Roman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="Cambria" w:eastAsia="Times New Roman" w:hAnsi="Cambria" w:cs="Times New Roman"/>
      <w:color w:val="243F60"/>
    </w:rPr>
  </w:style>
  <w:style w:type="character" w:styleId="nfase">
    <w:name w:val="Emphasis"/>
    <w:qFormat/>
    <w:rsid w:val="00425D8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3A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3A27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CC38-E9C7-4DEF-8697-1FE805F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7207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2021-04-15T12:17:00Z</cp:lastPrinted>
  <dcterms:created xsi:type="dcterms:W3CDTF">2021-04-17T02:33:00Z</dcterms:created>
  <dcterms:modified xsi:type="dcterms:W3CDTF">2021-04-17T02:35:00Z</dcterms:modified>
</cp:coreProperties>
</file>